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2EC" w:rsidRPr="00833E75" w:rsidRDefault="00BB62EC" w:rsidP="00BB62EC">
      <w:pPr>
        <w:pStyle w:val="CRCoverPage"/>
        <w:tabs>
          <w:tab w:val="right" w:pos="9639"/>
        </w:tabs>
        <w:spacing w:after="0"/>
        <w:rPr>
          <w:rFonts w:eastAsiaTheme="minorEastAsia"/>
          <w:b/>
          <w:sz w:val="24"/>
          <w:lang w:eastAsia="zh-CN"/>
        </w:rPr>
      </w:pPr>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#10</w:t>
      </w:r>
      <w:r>
        <w:rPr>
          <w:rFonts w:eastAsia="Times New Roman"/>
          <w:b/>
          <w:sz w:val="24"/>
          <w:lang w:eastAsia="zh-CN"/>
        </w:rPr>
        <w:t>9</w:t>
      </w:r>
      <w:r w:rsidR="00837740">
        <w:rPr>
          <w:rFonts w:eastAsiaTheme="minorEastAsia" w:hint="eastAsia"/>
          <w:b/>
          <w:sz w:val="24"/>
          <w:lang w:eastAsia="zh-CN"/>
        </w:rPr>
        <w:t>b</w:t>
      </w:r>
      <w:r w:rsidR="009B5250">
        <w:rPr>
          <w:rFonts w:eastAsiaTheme="minorEastAsia"/>
          <w:b/>
          <w:sz w:val="24"/>
          <w:lang w:eastAsia="zh-CN"/>
        </w:rPr>
        <w:t>is</w:t>
      </w:r>
      <w:r w:rsidR="00837740">
        <w:rPr>
          <w:rFonts w:eastAsiaTheme="minorEastAsia"/>
          <w:b/>
          <w:sz w:val="24"/>
          <w:lang w:eastAsia="zh-CN"/>
        </w:rPr>
        <w:t>-e</w:t>
      </w:r>
      <w:r w:rsidRPr="0003587E">
        <w:rPr>
          <w:rFonts w:eastAsia="Times New Roman"/>
          <w:b/>
          <w:sz w:val="24"/>
          <w:lang w:eastAsia="zh-CN"/>
        </w:rPr>
        <w:tab/>
      </w:r>
      <w:r w:rsidRPr="00A34F20">
        <w:rPr>
          <w:rFonts w:eastAsia="Times New Roman"/>
          <w:b/>
          <w:sz w:val="24"/>
          <w:lang w:eastAsia="zh-CN"/>
        </w:rPr>
        <w:t>R2-</w:t>
      </w:r>
      <w:r>
        <w:rPr>
          <w:rFonts w:eastAsia="Times New Roman"/>
          <w:b/>
          <w:sz w:val="24"/>
          <w:lang w:eastAsia="zh-CN"/>
        </w:rPr>
        <w:t>20</w:t>
      </w:r>
      <w:r w:rsidR="00EF7139">
        <w:rPr>
          <w:rFonts w:eastAsia="Times New Roman"/>
          <w:b/>
          <w:sz w:val="24"/>
          <w:lang w:eastAsia="zh-CN"/>
        </w:rPr>
        <w:t>03578</w:t>
      </w:r>
    </w:p>
    <w:p w:rsidR="00BB62EC" w:rsidRDefault="00837740" w:rsidP="00BB62EC">
      <w:pPr>
        <w:rPr>
          <w:rFonts w:ascii="Arial" w:eastAsia="Times New Roman" w:hAnsi="Arial"/>
          <w:b/>
          <w:sz w:val="24"/>
        </w:rPr>
      </w:pPr>
      <w:r>
        <w:rPr>
          <w:rFonts w:ascii="Arial" w:hAnsi="Arial"/>
          <w:b/>
          <w:sz w:val="24"/>
        </w:rPr>
        <w:t>Electronic, 20 Apr – 30 Apr 2020</w:t>
      </w:r>
    </w:p>
    <w:p w:rsidR="00BB62EC" w:rsidRDefault="00BB62EC" w:rsidP="00BB62EC">
      <w:pPr>
        <w:rPr>
          <w:rFonts w:ascii="Arial" w:hAnsi="Arial" w:cs="Arial"/>
          <w:b/>
          <w:szCs w:val="24"/>
        </w:rPr>
      </w:pPr>
    </w:p>
    <w:p w:rsidR="00B103D8" w:rsidRPr="00F20FB5" w:rsidRDefault="00B103D8" w:rsidP="00B103D8">
      <w:pPr>
        <w:tabs>
          <w:tab w:val="left" w:pos="567"/>
        </w:tabs>
        <w:rPr>
          <w:rFonts w:ascii="Arial" w:hAnsi="Arial"/>
          <w:b/>
        </w:rPr>
      </w:pPr>
      <w:r w:rsidRPr="00B00730">
        <w:rPr>
          <w:rFonts w:ascii="Arial" w:hAnsi="Arial"/>
          <w:b/>
        </w:rPr>
        <w:t>Agenda Item:</w:t>
      </w:r>
      <w:r w:rsidRPr="00B00730">
        <w:rPr>
          <w:rFonts w:ascii="Arial" w:hAnsi="Arial"/>
        </w:rPr>
        <w:tab/>
      </w:r>
      <w:bookmarkStart w:id="0" w:name="Source"/>
      <w:bookmarkEnd w:id="0"/>
      <w:r w:rsidRPr="00B00730">
        <w:rPr>
          <w:rFonts w:ascii="Arial" w:hAnsi="Arial"/>
          <w:b/>
        </w:rPr>
        <w:tab/>
      </w:r>
      <w:r w:rsidR="003721C7" w:rsidRPr="003721C7">
        <w:rPr>
          <w:rFonts w:ascii="Arial" w:hAnsi="Arial"/>
        </w:rPr>
        <w:t>6.9.3.2 Open issues and corrections for fast handover failure recovery</w:t>
      </w:r>
    </w:p>
    <w:p w:rsidR="00B103D8" w:rsidRPr="00D20DB6" w:rsidRDefault="00B103D8" w:rsidP="00B103D8">
      <w:pPr>
        <w:tabs>
          <w:tab w:val="left" w:pos="567"/>
        </w:tabs>
        <w:rPr>
          <w:rFonts w:ascii="Arial" w:hAnsi="Arial"/>
        </w:rPr>
      </w:pPr>
      <w:r w:rsidRPr="00B00730">
        <w:rPr>
          <w:rFonts w:ascii="Arial" w:hAnsi="Arial"/>
          <w:b/>
        </w:rPr>
        <w:t>Source:</w:t>
      </w:r>
      <w:r w:rsidRPr="00B00730">
        <w:rPr>
          <w:rFonts w:ascii="Arial" w:hAnsi="Arial"/>
          <w:b/>
        </w:rPr>
        <w:tab/>
      </w:r>
      <w:r w:rsidRPr="00B00730">
        <w:rPr>
          <w:rFonts w:ascii="Arial" w:hAnsi="Arial"/>
          <w:b/>
        </w:rPr>
        <w:tab/>
      </w:r>
      <w:r w:rsidRPr="00D20DB6">
        <w:rPr>
          <w:rFonts w:ascii="Arial" w:hAnsi="Arial"/>
        </w:rPr>
        <w:t>Huawei, HiSilicon</w:t>
      </w:r>
    </w:p>
    <w:p w:rsidR="00B103D8" w:rsidRPr="00D20DB6" w:rsidRDefault="00B103D8" w:rsidP="00B103D8">
      <w:pPr>
        <w:tabs>
          <w:tab w:val="left" w:pos="567"/>
        </w:tabs>
        <w:rPr>
          <w:rFonts w:ascii="Arial" w:hAnsi="Arial"/>
        </w:rPr>
      </w:pPr>
      <w:r w:rsidRPr="00B00730">
        <w:rPr>
          <w:rFonts w:ascii="Arial" w:hAnsi="Arial"/>
          <w:b/>
        </w:rPr>
        <w:t>Title:</w:t>
      </w:r>
      <w:r w:rsidRPr="00B00730">
        <w:rPr>
          <w:rFonts w:ascii="Arial" w:hAnsi="Arial"/>
        </w:rPr>
        <w:tab/>
      </w:r>
      <w:r w:rsidRPr="00B00730">
        <w:rPr>
          <w:rFonts w:ascii="Arial" w:hAnsi="Arial"/>
        </w:rPr>
        <w:tab/>
      </w:r>
      <w:r w:rsidRPr="00B00730">
        <w:rPr>
          <w:rFonts w:ascii="Arial" w:hAnsi="Arial"/>
        </w:rPr>
        <w:tab/>
      </w:r>
      <w:r w:rsidRPr="00B00730">
        <w:rPr>
          <w:rFonts w:ascii="Arial" w:hAnsi="Arial"/>
        </w:rPr>
        <w:tab/>
      </w:r>
      <w:r w:rsidR="00037BBB" w:rsidRPr="00037BBB">
        <w:rPr>
          <w:rFonts w:ascii="Arial" w:hAnsi="Arial"/>
        </w:rPr>
        <w:t>Discussion on T312 support</w:t>
      </w:r>
    </w:p>
    <w:p w:rsidR="00B103D8" w:rsidRPr="00B00730" w:rsidRDefault="00B103D8" w:rsidP="00B103D8">
      <w:pPr>
        <w:tabs>
          <w:tab w:val="left" w:pos="567"/>
        </w:tabs>
        <w:rPr>
          <w:rFonts w:ascii="Arial" w:hAnsi="Arial"/>
        </w:rPr>
      </w:pPr>
      <w:r w:rsidRPr="00B00730">
        <w:rPr>
          <w:rFonts w:ascii="Arial" w:hAnsi="Arial"/>
          <w:b/>
        </w:rPr>
        <w:t>WI code(s):</w:t>
      </w:r>
      <w:r w:rsidRPr="00B00730">
        <w:rPr>
          <w:rFonts w:ascii="Arial" w:hAnsi="Arial"/>
          <w:b/>
        </w:rPr>
        <w:tab/>
      </w:r>
      <w:r w:rsidRPr="00B00730">
        <w:rPr>
          <w:rFonts w:ascii="Arial" w:hAnsi="Arial"/>
          <w:b/>
        </w:rPr>
        <w:tab/>
      </w:r>
      <w:r w:rsidR="008A2518" w:rsidRPr="008A2518">
        <w:rPr>
          <w:rFonts w:ascii="Arial" w:hAnsi="Arial"/>
        </w:rPr>
        <w:t>NR_Mob_enh-Core</w:t>
      </w:r>
    </w:p>
    <w:p w:rsidR="00B103D8" w:rsidRPr="00D20DB6" w:rsidRDefault="00B103D8" w:rsidP="00B103D8">
      <w:pPr>
        <w:tabs>
          <w:tab w:val="left" w:pos="567"/>
        </w:tabs>
        <w:rPr>
          <w:rFonts w:ascii="Arial" w:hAnsi="Arial"/>
        </w:rPr>
      </w:pPr>
      <w:r w:rsidRPr="00B00730">
        <w:rPr>
          <w:rFonts w:ascii="Arial" w:hAnsi="Arial"/>
          <w:b/>
        </w:rPr>
        <w:t>Document for:</w:t>
      </w:r>
      <w:r w:rsidRPr="00B00730">
        <w:rPr>
          <w:rFonts w:ascii="Arial" w:hAnsi="Arial"/>
          <w:b/>
        </w:rPr>
        <w:tab/>
      </w:r>
      <w:r w:rsidRPr="00D20DB6">
        <w:rPr>
          <w:rFonts w:ascii="Arial" w:hAnsi="Arial"/>
        </w:rPr>
        <w:t>Discussion and Decision</w:t>
      </w:r>
    </w:p>
    <w:p w:rsidR="00B103D8" w:rsidRDefault="00B103D8" w:rsidP="00BB62EC">
      <w:pPr>
        <w:rPr>
          <w:rFonts w:ascii="Arial" w:hAnsi="Arial" w:cs="Arial"/>
          <w:b/>
          <w:szCs w:val="24"/>
        </w:rPr>
      </w:pPr>
    </w:p>
    <w:p w:rsidR="00BB62EC" w:rsidRPr="00B649FD" w:rsidRDefault="00BB62EC" w:rsidP="00BB62EC">
      <w:pPr>
        <w:pStyle w:val="1"/>
        <w:spacing w:line="276" w:lineRule="auto"/>
        <w:jc w:val="both"/>
        <w:rPr>
          <w:lang w:eastAsia="zh-CN"/>
        </w:rPr>
      </w:pPr>
      <w:r w:rsidRPr="00CC0168">
        <w:rPr>
          <w:lang w:eastAsia="zh-CN"/>
        </w:rPr>
        <w:t>Introduction</w:t>
      </w:r>
    </w:p>
    <w:p w:rsidR="00D97B5A" w:rsidRDefault="008A2518" w:rsidP="008A2518">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 RAN2-109-e meeting, there were the following agreements [1]:</w:t>
      </w:r>
    </w:p>
    <w:p w:rsidR="00CD2C02" w:rsidRDefault="00CD2C02" w:rsidP="00FC7AC4">
      <w:pPr>
        <w:rPr>
          <w:rFonts w:ascii="Times New Roman" w:hAnsi="Times New Roman" w:cs="Times New Roman"/>
        </w:rPr>
      </w:pPr>
    </w:p>
    <w:p w:rsidR="00CD2C02" w:rsidRPr="002B49A7" w:rsidRDefault="00CD2C02" w:rsidP="00CD2C0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18: T312 is not stopped upon the reception of RRC Reconfiguration with cho-Config; Do not need additional change. </w:t>
      </w:r>
    </w:p>
    <w:p w:rsidR="00CD2C02" w:rsidRPr="002B49A7" w:rsidRDefault="00CD2C02" w:rsidP="00CD2C0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19: T312 is stopped upon the execution of CHO; Do not need to change specification. </w:t>
      </w:r>
    </w:p>
    <w:p w:rsidR="00CD2C02" w:rsidRPr="002B49A7" w:rsidRDefault="00CD2C02" w:rsidP="00CD2C0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20: CHO based RLF failure handling is also applied for RLF caused by the expiry of T312; Do not need to change specification.</w:t>
      </w:r>
    </w:p>
    <w:p w:rsidR="00CD2C02" w:rsidRDefault="00CD2C02" w:rsidP="00FC7AC4">
      <w:pPr>
        <w:rPr>
          <w:rFonts w:ascii="Times New Roman" w:hAnsi="Times New Roman" w:cs="Times New Roman"/>
          <w:lang w:val="en-GB"/>
        </w:rPr>
      </w:pPr>
    </w:p>
    <w:p w:rsidR="00CD2C02" w:rsidRDefault="008A2518" w:rsidP="008A2518">
      <w:pPr>
        <w:rPr>
          <w:rFonts w:ascii="Times New Roman" w:hAnsi="Times New Roman" w:cs="Times New Roman"/>
        </w:rPr>
      </w:pPr>
      <w:r>
        <w:rPr>
          <w:rFonts w:ascii="Times New Roman" w:hAnsi="Times New Roman" w:cs="Times New Roman" w:hint="eastAsia"/>
          <w:lang w:val="en-GB"/>
        </w:rPr>
        <w:t>A</w:t>
      </w:r>
      <w:r>
        <w:rPr>
          <w:rFonts w:ascii="Times New Roman" w:hAnsi="Times New Roman" w:cs="Times New Roman"/>
          <w:lang w:val="en-GB"/>
        </w:rPr>
        <w:t>fter double check, we have found some minor issues, so this paper is to provide our analysis.</w:t>
      </w:r>
      <w:r>
        <w:rPr>
          <w:rFonts w:ascii="Times New Roman" w:hAnsi="Times New Roman" w:cs="Times New Roman"/>
        </w:rPr>
        <w:t xml:space="preserve"> </w:t>
      </w:r>
    </w:p>
    <w:p w:rsidR="00CD2C02" w:rsidRDefault="00CD2C02" w:rsidP="00FC7AC4">
      <w:pPr>
        <w:rPr>
          <w:rFonts w:ascii="Times New Roman" w:hAnsi="Times New Roman" w:cs="Times New Roman"/>
        </w:rPr>
      </w:pPr>
    </w:p>
    <w:p w:rsidR="00977692" w:rsidRDefault="00977692" w:rsidP="00977692">
      <w:pPr>
        <w:pStyle w:val="1"/>
        <w:spacing w:line="276" w:lineRule="auto"/>
        <w:jc w:val="both"/>
        <w:rPr>
          <w:lang w:eastAsia="zh-CN"/>
        </w:rPr>
      </w:pPr>
      <w:r>
        <w:rPr>
          <w:lang w:eastAsia="zh-CN"/>
        </w:rPr>
        <w:t>Discussion</w:t>
      </w:r>
    </w:p>
    <w:p w:rsidR="008A2518" w:rsidRDefault="008A251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TS 38.331 v16.0.0, T312 has been captured in the following table.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A2518" w:rsidTr="008A2518">
        <w:trPr>
          <w:cantSplit/>
        </w:trPr>
        <w:tc>
          <w:tcPr>
            <w:tcW w:w="1134" w:type="dxa"/>
            <w:tcBorders>
              <w:top w:val="single" w:sz="4" w:space="0" w:color="auto"/>
              <w:left w:val="single" w:sz="4" w:space="0" w:color="auto"/>
              <w:bottom w:val="single" w:sz="4" w:space="0" w:color="auto"/>
              <w:right w:val="single" w:sz="4" w:space="0" w:color="auto"/>
            </w:tcBorders>
          </w:tcPr>
          <w:p w:rsidR="008A2518" w:rsidRPr="00F537EB" w:rsidRDefault="008A2518" w:rsidP="008A2518">
            <w:pPr>
              <w:pStyle w:val="TAH"/>
              <w:rPr>
                <w:lang w:eastAsia="en-GB"/>
              </w:rPr>
            </w:pPr>
            <w:r w:rsidRPr="00F537EB">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rsidR="008A2518" w:rsidRPr="00F537EB" w:rsidRDefault="008A2518" w:rsidP="008A2518">
            <w:pPr>
              <w:pStyle w:val="TAH"/>
              <w:rPr>
                <w:lang w:eastAsia="en-GB"/>
              </w:rPr>
            </w:pPr>
            <w:r w:rsidRPr="00F537EB">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rsidR="008A2518" w:rsidRPr="00F537EB" w:rsidRDefault="008A2518" w:rsidP="008A2518">
            <w:pPr>
              <w:pStyle w:val="TAH"/>
              <w:rPr>
                <w:lang w:eastAsia="en-GB"/>
              </w:rPr>
            </w:pPr>
            <w:r w:rsidRPr="00F537EB">
              <w:rPr>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8A2518" w:rsidRPr="00F537EB" w:rsidRDefault="008A2518" w:rsidP="008A2518">
            <w:pPr>
              <w:pStyle w:val="TAH"/>
              <w:rPr>
                <w:lang w:eastAsia="en-GB"/>
              </w:rPr>
            </w:pPr>
            <w:r w:rsidRPr="00F537EB">
              <w:rPr>
                <w:lang w:eastAsia="en-GB"/>
              </w:rPr>
              <w:t>At expiry</w:t>
            </w:r>
          </w:p>
        </w:tc>
      </w:tr>
      <w:tr w:rsidR="008A2518" w:rsidTr="008A2518">
        <w:trPr>
          <w:cantSplit/>
        </w:trPr>
        <w:tc>
          <w:tcPr>
            <w:tcW w:w="1134" w:type="dxa"/>
            <w:tcBorders>
              <w:top w:val="single" w:sz="4" w:space="0" w:color="auto"/>
              <w:left w:val="single" w:sz="4" w:space="0" w:color="auto"/>
              <w:bottom w:val="single" w:sz="4" w:space="0" w:color="auto"/>
              <w:right w:val="single" w:sz="4" w:space="0" w:color="auto"/>
            </w:tcBorders>
          </w:tcPr>
          <w:p w:rsidR="008A2518" w:rsidRDefault="008A2518" w:rsidP="008A2518">
            <w:pPr>
              <w:pStyle w:val="TAL"/>
              <w:spacing w:line="256" w:lineRule="auto"/>
              <w:rPr>
                <w:lang w:eastAsia="en-GB"/>
              </w:rPr>
            </w:pPr>
            <w:r>
              <w:rPr>
                <w:lang w:eastAsia="en-GB"/>
              </w:rPr>
              <w:t>T312</w:t>
            </w:r>
          </w:p>
          <w:p w:rsidR="008A2518" w:rsidRDefault="008A2518" w:rsidP="008A2518">
            <w:pPr>
              <w:pStyle w:val="TAL"/>
              <w:spacing w:line="256" w:lineRule="auto"/>
              <w:rPr>
                <w:lang w:eastAsia="en-GB"/>
              </w:rPr>
            </w:pPr>
          </w:p>
        </w:tc>
        <w:tc>
          <w:tcPr>
            <w:tcW w:w="2269" w:type="dxa"/>
            <w:tcBorders>
              <w:top w:val="single" w:sz="4" w:space="0" w:color="auto"/>
              <w:left w:val="single" w:sz="4" w:space="0" w:color="auto"/>
              <w:bottom w:val="single" w:sz="4" w:space="0" w:color="auto"/>
              <w:right w:val="single" w:sz="4" w:space="0" w:color="auto"/>
            </w:tcBorders>
          </w:tcPr>
          <w:p w:rsidR="008A2518" w:rsidRDefault="008A2518" w:rsidP="008A2518">
            <w:pPr>
              <w:pStyle w:val="TAL"/>
              <w:spacing w:line="256" w:lineRule="auto"/>
              <w:rPr>
                <w:lang w:eastAsia="en-GB"/>
              </w:rPr>
            </w:pPr>
            <w:r>
              <w:rPr>
                <w:lang w:eastAsia="en-GB"/>
              </w:rPr>
              <w:t>If T312 is configured  in MCG: Upon triggering a measurement report for a measurement identity for which T312 has been configured, while T310 in PCell is running.</w:t>
            </w:r>
          </w:p>
          <w:p w:rsidR="008A2518" w:rsidRDefault="008A2518" w:rsidP="008A2518">
            <w:pPr>
              <w:pStyle w:val="TAL"/>
              <w:spacing w:line="256" w:lineRule="auto"/>
              <w:rPr>
                <w:lang w:eastAsia="en-GB"/>
              </w:rPr>
            </w:pPr>
            <w:r>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rsidR="008A2518" w:rsidRDefault="008A2518" w:rsidP="008A2518">
            <w:pPr>
              <w:pStyle w:val="TAL"/>
              <w:spacing w:line="256" w:lineRule="auto"/>
              <w:rPr>
                <w:lang w:eastAsia="en-GB"/>
              </w:rPr>
            </w:pPr>
            <w:r>
              <w:rPr>
                <w:lang w:eastAsia="en-GB"/>
              </w:rPr>
              <w:t xml:space="preserve">Upon receiving N311 consecutive in-sync indications from lower layers for the SpCell, receiving </w:t>
            </w:r>
            <w:r w:rsidRPr="008A2518">
              <w:rPr>
                <w:i/>
                <w:highlight w:val="yellow"/>
                <w:lang w:eastAsia="en-GB"/>
              </w:rPr>
              <w:t>RRCReconfiguration</w:t>
            </w:r>
            <w:r w:rsidRPr="008A2518">
              <w:rPr>
                <w:highlight w:val="yellow"/>
                <w:lang w:eastAsia="en-GB"/>
              </w:rPr>
              <w:t xml:space="preserve"> with </w:t>
            </w:r>
            <w:r w:rsidRPr="008A2518">
              <w:rPr>
                <w:i/>
                <w:highlight w:val="yellow"/>
                <w:lang w:eastAsia="en-GB"/>
              </w:rPr>
              <w:t>reconfigurationWithSync</w:t>
            </w:r>
            <w:r w:rsidRPr="008A2518">
              <w:rPr>
                <w:highlight w:val="yellow"/>
                <w:lang w:eastAsia="en-GB"/>
              </w:rPr>
              <w:t xml:space="preserve"> for that cell group</w:t>
            </w:r>
            <w:r>
              <w:rPr>
                <w:lang w:eastAsia="en-GB"/>
              </w:rPr>
              <w:t>, upon initiating the connection re-establishment procedure, and upon the expiry of T310 in corresponding SpCell.</w:t>
            </w:r>
          </w:p>
          <w:p w:rsidR="008A2518" w:rsidRDefault="008A2518" w:rsidP="008A2518">
            <w:pPr>
              <w:pStyle w:val="TAL"/>
              <w:spacing w:line="256" w:lineRule="auto"/>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rsidR="008A2518" w:rsidRDefault="008A2518" w:rsidP="008A2518">
            <w:pPr>
              <w:pStyle w:val="TAL"/>
              <w:spacing w:line="256" w:lineRule="auto"/>
              <w:rPr>
                <w:lang w:eastAsia="en-GB"/>
              </w:rPr>
            </w:pPr>
            <w:r>
              <w:rPr>
                <w:lang w:eastAsia="en-GB"/>
              </w:rPr>
              <w:t>If the T312 is kept in MCG: If security is not activated: go to RRC_IDLE else: initiate the connection re-establishment procedure.</w:t>
            </w:r>
          </w:p>
          <w:p w:rsidR="008A2518" w:rsidRDefault="008A2518" w:rsidP="008A2518">
            <w:pPr>
              <w:pStyle w:val="TAL"/>
              <w:spacing w:line="256" w:lineRule="auto"/>
              <w:rPr>
                <w:lang w:eastAsia="en-GB"/>
              </w:rPr>
            </w:pPr>
            <w:r>
              <w:rPr>
                <w:lang w:eastAsia="en-GB"/>
              </w:rPr>
              <w:t>If the T312 is kept in SCG, Inform E-UTRAN/NR about the SCG radio link failure by initiating the SCG failure information procedure.as specified in 5.7.3.</w:t>
            </w:r>
          </w:p>
        </w:tc>
      </w:tr>
    </w:tbl>
    <w:p w:rsidR="008A2518" w:rsidRPr="008A2518" w:rsidRDefault="008A2518">
      <w:pPr>
        <w:rPr>
          <w:rFonts w:ascii="Times New Roman" w:hAnsi="Times New Roman" w:cs="Times New Roman"/>
        </w:rPr>
      </w:pPr>
    </w:p>
    <w:p w:rsidR="008A2518" w:rsidRDefault="008A251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t</w:t>
      </w:r>
      <w:r w:rsidR="00137181">
        <w:rPr>
          <w:rFonts w:ascii="Times New Roman" w:hAnsi="Times New Roman" w:cs="Times New Roman"/>
        </w:rPr>
        <w:t xml:space="preserve"> can be seen</w:t>
      </w:r>
      <w:r>
        <w:rPr>
          <w:rFonts w:ascii="Times New Roman" w:hAnsi="Times New Roman" w:cs="Times New Roman"/>
        </w:rPr>
        <w:t xml:space="preserve"> that T312 should be stopped when there is a handover. However, it is missing in the procedural text</w:t>
      </w:r>
      <w:r w:rsidR="00137181">
        <w:rPr>
          <w:rFonts w:ascii="Times New Roman" w:hAnsi="Times New Roman" w:cs="Times New Roman"/>
        </w:rPr>
        <w:t>, and one example is shown as below.</w:t>
      </w:r>
    </w:p>
    <w:p w:rsidR="008A2518" w:rsidRDefault="008A2518">
      <w:pPr>
        <w:rPr>
          <w:rFonts w:ascii="Times New Roman" w:hAnsi="Times New Roman" w:cs="Times New Roman"/>
        </w:rPr>
      </w:pPr>
    </w:p>
    <w:p w:rsidR="008A2518" w:rsidRDefault="008A2518" w:rsidP="008A2518">
      <w:pPr>
        <w:ind w:leftChars="300" w:left="660"/>
        <w:rPr>
          <w:rFonts w:ascii="Times New Roman" w:hAnsi="Times New Roman" w:cs="Times New Roman"/>
        </w:rPr>
      </w:pPr>
      <w:bookmarkStart w:id="1" w:name="_Toc20425700"/>
      <w:bookmarkStart w:id="2" w:name="_Toc29321096"/>
      <w:bookmarkStart w:id="3" w:name="_Toc36756689"/>
      <w:bookmarkStart w:id="4" w:name="_Toc36836230"/>
      <w:bookmarkStart w:id="5" w:name="_Toc36843207"/>
      <w:bookmarkStart w:id="6"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
      <w:bookmarkEnd w:id="2"/>
      <w:bookmarkEnd w:id="3"/>
      <w:bookmarkEnd w:id="4"/>
      <w:bookmarkEnd w:id="5"/>
      <w:bookmarkEnd w:id="6"/>
    </w:p>
    <w:p w:rsidR="008A2518" w:rsidRPr="00F537EB" w:rsidRDefault="008A2518" w:rsidP="008A2518">
      <w:pPr>
        <w:pStyle w:val="B1"/>
        <w:ind w:leftChars="429" w:left="1228"/>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rsidR="008A2518" w:rsidRPr="00F537EB" w:rsidRDefault="008A2518" w:rsidP="008A2518">
      <w:pPr>
        <w:pStyle w:val="B2"/>
        <w:ind w:leftChars="558" w:left="1512"/>
      </w:pPr>
      <w:r w:rsidRPr="00F537EB">
        <w:t>2&gt;</w:t>
      </w:r>
      <w:r w:rsidRPr="00F537EB">
        <w:tab/>
        <w:t>stop timer T304 for that cell group;</w:t>
      </w:r>
    </w:p>
    <w:p w:rsidR="008A2518" w:rsidRPr="00F537EB" w:rsidRDefault="008A2518" w:rsidP="008A2518">
      <w:pPr>
        <w:pStyle w:val="B2"/>
        <w:ind w:leftChars="558" w:left="1512"/>
      </w:pPr>
      <w:r w:rsidRPr="00F537EB">
        <w:t>2&gt;</w:t>
      </w:r>
      <w:r w:rsidRPr="00F537EB">
        <w:tab/>
        <w:t>stop timer T310 for source if running;</w:t>
      </w:r>
    </w:p>
    <w:p w:rsidR="008A2518" w:rsidRPr="00F537EB" w:rsidRDefault="008A2518" w:rsidP="008A2518">
      <w:pPr>
        <w:pStyle w:val="B2"/>
        <w:ind w:leftChars="558" w:left="151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rsidR="008A2518" w:rsidRDefault="008A2518">
      <w:pPr>
        <w:rPr>
          <w:rFonts w:ascii="Times New Roman" w:hAnsi="Times New Roman" w:cs="Times New Roman"/>
          <w:lang w:val="x-none"/>
        </w:rPr>
      </w:pPr>
    </w:p>
    <w:p w:rsidR="00695067" w:rsidRPr="00695067" w:rsidRDefault="00695067">
      <w:pPr>
        <w:rPr>
          <w:rFonts w:ascii="Times New Roman" w:hAnsi="Times New Roman" w:cs="Times New Roman"/>
          <w:b/>
          <w:lang w:val="x-none"/>
        </w:rPr>
      </w:pPr>
      <w:r w:rsidRPr="00695067">
        <w:rPr>
          <w:rFonts w:ascii="Times New Roman" w:hAnsi="Times New Roman" w:cs="Times New Roman" w:hint="eastAsia"/>
          <w:b/>
          <w:lang w:val="x-none"/>
        </w:rPr>
        <w:t>P</w:t>
      </w:r>
      <w:r w:rsidRPr="00695067">
        <w:rPr>
          <w:rFonts w:ascii="Times New Roman" w:hAnsi="Times New Roman" w:cs="Times New Roman"/>
          <w:b/>
          <w:lang w:val="x-none"/>
        </w:rPr>
        <w:t xml:space="preserve">roposal 1: </w:t>
      </w:r>
      <w:r w:rsidR="006D03A3">
        <w:rPr>
          <w:rFonts w:ascii="Times New Roman" w:hAnsi="Times New Roman" w:cs="Times New Roman"/>
          <w:b/>
          <w:lang w:val="x-none"/>
        </w:rPr>
        <w:t>It is proposed to check and complete the procedural text for stopping T312 upon a handover.</w:t>
      </w:r>
    </w:p>
    <w:p w:rsidR="008A2518" w:rsidRDefault="008A2518" w:rsidP="008A2518">
      <w:pPr>
        <w:rPr>
          <w:rFonts w:ascii="Times New Roman" w:hAnsi="Times New Roman" w:cs="Times New Roman"/>
          <w:lang w:val="en-GB"/>
        </w:rPr>
      </w:pPr>
    </w:p>
    <w:p w:rsidR="00601D32" w:rsidRDefault="00601D32" w:rsidP="008A2518">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the agreements made at RAN2-109-e meeting, we have some questions as well as analysis.</w:t>
      </w:r>
    </w:p>
    <w:p w:rsidR="00601D32" w:rsidRPr="002B49A7" w:rsidRDefault="00601D32" w:rsidP="00601D3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18: T312 is not stopped upon the reception of RRC Reconfiguration with cho-Config; Do not need additional change. </w:t>
      </w:r>
    </w:p>
    <w:p w:rsidR="00601D32" w:rsidRPr="002B49A7" w:rsidRDefault="00601D32" w:rsidP="00601D3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19: T312 is stopped upon the execution of CHO; Do not need to change specification. </w:t>
      </w:r>
    </w:p>
    <w:p w:rsidR="00601D32" w:rsidRPr="002B49A7" w:rsidRDefault="00601D32" w:rsidP="00601D32">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20: CHO based RLF failure handling is also applied for RLF caused by the expiry of T312; Do not need to change specification.</w:t>
      </w:r>
    </w:p>
    <w:p w:rsidR="00601D32" w:rsidRDefault="00601D32" w:rsidP="008A2518">
      <w:pPr>
        <w:rPr>
          <w:rFonts w:ascii="Times New Roman" w:hAnsi="Times New Roman" w:cs="Times New Roman"/>
          <w:lang w:val="en-GB"/>
        </w:rPr>
      </w:pPr>
    </w:p>
    <w:p w:rsidR="00601D32" w:rsidRDefault="00601D32" w:rsidP="008A2518">
      <w:pPr>
        <w:rPr>
          <w:rFonts w:ascii="Times New Roman" w:hAnsi="Times New Roman" w:cs="Times New Roman"/>
          <w:lang w:val="en-GB"/>
        </w:rPr>
      </w:pPr>
      <w:r>
        <w:rPr>
          <w:rFonts w:ascii="Times New Roman" w:hAnsi="Times New Roman" w:cs="Times New Roman"/>
          <w:lang w:val="en-GB"/>
        </w:rPr>
        <w:t>For No#18 agreement, we think it should cover both CHO reconfiguration and CPC reconfiguration cases.</w:t>
      </w:r>
    </w:p>
    <w:p w:rsidR="00601D32" w:rsidRDefault="00601D32" w:rsidP="008A2518">
      <w:pPr>
        <w:rPr>
          <w:rFonts w:ascii="Times New Roman" w:hAnsi="Times New Roman" w:cs="Times New Roman"/>
          <w:lang w:val="en-GB"/>
        </w:rPr>
      </w:pPr>
      <w:r>
        <w:rPr>
          <w:rFonts w:ascii="Times New Roman" w:hAnsi="Times New Roman" w:cs="Times New Roman"/>
          <w:lang w:val="en-GB"/>
        </w:rPr>
        <w:t>For No#19, we think it should also be applicable for CPC case, i.e. T312 is stopped upon execution of CPC and do not need to change specification.</w:t>
      </w:r>
    </w:p>
    <w:p w:rsidR="00601D32" w:rsidRDefault="00601D32" w:rsidP="008A2518">
      <w:pPr>
        <w:rPr>
          <w:rFonts w:ascii="Times New Roman" w:hAnsi="Times New Roman" w:cs="Times New Roman"/>
          <w:lang w:val="en-GB"/>
        </w:rPr>
      </w:pPr>
    </w:p>
    <w:p w:rsidR="00601D32" w:rsidRPr="00601D32" w:rsidRDefault="00601D32" w:rsidP="008A2518">
      <w:pPr>
        <w:rPr>
          <w:rFonts w:ascii="Times New Roman" w:hAnsi="Times New Roman" w:cs="Times New Roman"/>
          <w:b/>
          <w:lang w:val="en-GB"/>
        </w:rPr>
      </w:pPr>
      <w:r w:rsidRPr="00601D32">
        <w:rPr>
          <w:rFonts w:ascii="Times New Roman" w:hAnsi="Times New Roman" w:cs="Times New Roman"/>
          <w:b/>
          <w:lang w:val="en-GB"/>
        </w:rPr>
        <w:t>Proposal 2: It is proposed to confirm the following understandings:</w:t>
      </w:r>
    </w:p>
    <w:p w:rsidR="00601D32" w:rsidRPr="00601D32" w:rsidRDefault="00601D32" w:rsidP="00601D32">
      <w:pPr>
        <w:pStyle w:val="a7"/>
        <w:numPr>
          <w:ilvl w:val="0"/>
          <w:numId w:val="6"/>
        </w:numPr>
        <w:ind w:firstLineChars="0"/>
        <w:rPr>
          <w:rFonts w:ascii="Times New Roman" w:hAnsi="Times New Roman" w:cs="Times New Roman"/>
          <w:b/>
          <w:lang w:val="en-GB"/>
        </w:rPr>
      </w:pPr>
      <w:r w:rsidRPr="00601D32">
        <w:rPr>
          <w:rFonts w:ascii="Times New Roman" w:hAnsi="Times New Roman" w:cs="Times New Roman"/>
          <w:b/>
          <w:lang w:val="en-GB"/>
        </w:rPr>
        <w:t>For No#18 agreement, we think it should cover both CHO reconfiguration and CPC reconfiguration cases.</w:t>
      </w:r>
    </w:p>
    <w:p w:rsidR="00601D32" w:rsidRPr="00601D32" w:rsidRDefault="00601D32" w:rsidP="00601D32">
      <w:pPr>
        <w:pStyle w:val="a7"/>
        <w:numPr>
          <w:ilvl w:val="0"/>
          <w:numId w:val="6"/>
        </w:numPr>
        <w:ind w:firstLineChars="0"/>
        <w:rPr>
          <w:rFonts w:ascii="Times New Roman" w:hAnsi="Times New Roman" w:cs="Times New Roman"/>
          <w:b/>
          <w:lang w:val="en-GB"/>
        </w:rPr>
      </w:pPr>
      <w:r w:rsidRPr="00601D32">
        <w:rPr>
          <w:rFonts w:ascii="Times New Roman" w:hAnsi="Times New Roman" w:cs="Times New Roman"/>
          <w:b/>
          <w:lang w:val="en-GB"/>
        </w:rPr>
        <w:t>For No#19, we think it should also be applicable for CPC case, i.e. T312 is stopped upon execution of CPC and do not need to change specification.</w:t>
      </w:r>
    </w:p>
    <w:p w:rsidR="00601D32" w:rsidRPr="00601D32" w:rsidRDefault="00601D32" w:rsidP="008A2518">
      <w:pPr>
        <w:rPr>
          <w:rFonts w:ascii="Times New Roman" w:hAnsi="Times New Roman" w:cs="Times New Roman"/>
          <w:lang w:val="en-GB"/>
        </w:rPr>
      </w:pPr>
    </w:p>
    <w:p w:rsidR="00D276B2" w:rsidRDefault="00D276B2">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TS 38.331 v16.0.0 [2], we see that there are different targets for T312, and here are some text as below:</w:t>
      </w:r>
    </w:p>
    <w:p w:rsidR="00CF2063" w:rsidRDefault="00CF2063">
      <w:pPr>
        <w:rPr>
          <w:rFonts w:ascii="Times New Roman" w:hAnsi="Times New Roman" w:cs="Times New Roman"/>
        </w:rPr>
      </w:pPr>
    </w:p>
    <w:p w:rsidR="00CF2063" w:rsidRPr="008563CB" w:rsidRDefault="00CF2063" w:rsidP="00CF2063">
      <w:pPr>
        <w:pStyle w:val="5"/>
        <w:rPr>
          <w:rFonts w:eastAsia="MS Mincho"/>
          <w:b/>
          <w:color w:val="0070C0"/>
        </w:rPr>
      </w:pPr>
      <w:bookmarkStart w:id="7" w:name="_Toc20425708"/>
      <w:bookmarkStart w:id="8" w:name="_Toc29321104"/>
      <w:bookmarkStart w:id="9" w:name="_Toc36756697"/>
      <w:bookmarkStart w:id="10" w:name="_Toc36836238"/>
      <w:bookmarkStart w:id="11" w:name="_Toc36843215"/>
      <w:bookmarkStart w:id="12" w:name="_Toc37067504"/>
      <w:r w:rsidRPr="008563CB">
        <w:rPr>
          <w:rFonts w:eastAsia="MS Mincho"/>
          <w:b/>
          <w:color w:val="0070C0"/>
        </w:rPr>
        <w:t>5.3.5.5.6</w:t>
      </w:r>
      <w:r w:rsidRPr="008563CB">
        <w:rPr>
          <w:rFonts w:eastAsia="MS Mincho"/>
          <w:b/>
          <w:color w:val="0070C0"/>
        </w:rPr>
        <w:tab/>
        <w:t>RLF Timers &amp; Constants configuration</w:t>
      </w:r>
      <w:bookmarkEnd w:id="7"/>
      <w:bookmarkEnd w:id="8"/>
      <w:bookmarkEnd w:id="9"/>
      <w:bookmarkEnd w:id="10"/>
      <w:bookmarkEnd w:id="11"/>
      <w:bookmarkEnd w:id="12"/>
    </w:p>
    <w:p w:rsidR="00CF2063" w:rsidRPr="008563CB" w:rsidRDefault="00CF2063" w:rsidP="00CF2063">
      <w:pPr>
        <w:ind w:firstLineChars="200" w:firstLine="440"/>
        <w:rPr>
          <w:rFonts w:ascii="Times New Roman" w:hAnsi="Times New Roman" w:cs="Times New Roman"/>
          <w:color w:val="0070C0"/>
        </w:rPr>
      </w:pPr>
    </w:p>
    <w:p w:rsidR="00CF2063" w:rsidRPr="008563CB" w:rsidRDefault="00CF2063" w:rsidP="00CF2063">
      <w:pPr>
        <w:pStyle w:val="B2"/>
        <w:rPr>
          <w:color w:val="0070C0"/>
        </w:rPr>
      </w:pPr>
      <w:r w:rsidRPr="008563CB">
        <w:rPr>
          <w:color w:val="0070C0"/>
        </w:rPr>
        <w:t>2&gt;</w:t>
      </w:r>
      <w:r w:rsidRPr="008563CB">
        <w:rPr>
          <w:color w:val="0070C0"/>
        </w:rPr>
        <w:tab/>
        <w:t>else:</w:t>
      </w:r>
    </w:p>
    <w:p w:rsidR="00CF2063" w:rsidRPr="008563CB" w:rsidRDefault="00CF2063" w:rsidP="00CF2063">
      <w:pPr>
        <w:pStyle w:val="B3"/>
        <w:rPr>
          <w:color w:val="0070C0"/>
        </w:rPr>
      </w:pPr>
      <w:r w:rsidRPr="008563CB">
        <w:rPr>
          <w:color w:val="0070C0"/>
        </w:rPr>
        <w:t>3&gt;</w:t>
      </w:r>
      <w:r w:rsidRPr="008563CB">
        <w:rPr>
          <w:color w:val="0070C0"/>
        </w:rPr>
        <w:tab/>
        <w:t xml:space="preserve">(re-)configure the value of timers and constants in accordance with received </w:t>
      </w:r>
      <w:r w:rsidRPr="008563CB">
        <w:rPr>
          <w:i/>
          <w:color w:val="0070C0"/>
        </w:rPr>
        <w:t>rlf-TimersAndConstants</w:t>
      </w:r>
      <w:r w:rsidRPr="008563CB">
        <w:rPr>
          <w:color w:val="0070C0"/>
        </w:rPr>
        <w:t>;</w:t>
      </w:r>
    </w:p>
    <w:p w:rsidR="00CF2063" w:rsidRPr="008563CB" w:rsidRDefault="00CF2063" w:rsidP="00CF2063">
      <w:pPr>
        <w:pStyle w:val="B3"/>
        <w:rPr>
          <w:color w:val="0070C0"/>
        </w:rPr>
      </w:pPr>
      <w:r w:rsidRPr="008563CB">
        <w:rPr>
          <w:color w:val="0070C0"/>
        </w:rPr>
        <w:t>3&gt;</w:t>
      </w:r>
      <w:r w:rsidRPr="008563CB">
        <w:rPr>
          <w:color w:val="0070C0"/>
        </w:rPr>
        <w:tab/>
        <w:t>stop timer T310 for this cell group, if running;</w:t>
      </w:r>
    </w:p>
    <w:p w:rsidR="00CF2063" w:rsidRPr="008563CB" w:rsidRDefault="00CF2063" w:rsidP="00CF2063">
      <w:pPr>
        <w:pStyle w:val="B3"/>
        <w:rPr>
          <w:color w:val="0070C0"/>
        </w:rPr>
      </w:pPr>
      <w:r w:rsidRPr="008563CB">
        <w:rPr>
          <w:color w:val="0070C0"/>
        </w:rPr>
        <w:t>3&gt;</w:t>
      </w:r>
      <w:r w:rsidRPr="008563CB">
        <w:rPr>
          <w:color w:val="0070C0"/>
        </w:rPr>
        <w:tab/>
        <w:t xml:space="preserve">stop timer T312 </w:t>
      </w:r>
      <w:r w:rsidRPr="008563CB">
        <w:rPr>
          <w:color w:val="0070C0"/>
          <w:highlight w:val="yellow"/>
        </w:rPr>
        <w:t>for this cell group</w:t>
      </w:r>
      <w:r w:rsidRPr="008563CB">
        <w:rPr>
          <w:color w:val="0070C0"/>
        </w:rPr>
        <w:t>, if running;</w:t>
      </w:r>
    </w:p>
    <w:p w:rsidR="00CF2063" w:rsidRPr="008563CB" w:rsidRDefault="00CF2063" w:rsidP="00CF2063">
      <w:pPr>
        <w:pStyle w:val="B3"/>
        <w:rPr>
          <w:color w:val="0070C0"/>
        </w:rPr>
      </w:pPr>
      <w:r w:rsidRPr="008563CB">
        <w:rPr>
          <w:color w:val="0070C0"/>
        </w:rPr>
        <w:t>3&gt;</w:t>
      </w:r>
      <w:r w:rsidRPr="008563CB">
        <w:rPr>
          <w:color w:val="0070C0"/>
        </w:rPr>
        <w:tab/>
        <w:t>reset the counters N310 and N311.</w:t>
      </w:r>
    </w:p>
    <w:p w:rsidR="00CF2063" w:rsidRPr="008563CB" w:rsidRDefault="00CF2063">
      <w:pPr>
        <w:rPr>
          <w:rFonts w:ascii="Times New Roman" w:hAnsi="Times New Roman" w:cs="Times New Roman"/>
          <w:color w:val="0070C0"/>
          <w:lang w:val="x-none"/>
        </w:rPr>
      </w:pPr>
    </w:p>
    <w:p w:rsidR="00CF2063" w:rsidRPr="008563CB" w:rsidRDefault="00CF2063" w:rsidP="00CF2063">
      <w:pPr>
        <w:pStyle w:val="5"/>
        <w:rPr>
          <w:rFonts w:eastAsia="MS Mincho"/>
          <w:b/>
          <w:color w:val="0070C0"/>
        </w:rPr>
      </w:pPr>
      <w:bookmarkStart w:id="13" w:name="_Toc36756698"/>
      <w:bookmarkStart w:id="14" w:name="_Toc36836239"/>
      <w:bookmarkStart w:id="15" w:name="_Toc36843216"/>
      <w:bookmarkStart w:id="16" w:name="_Toc37067505"/>
      <w:r w:rsidRPr="008563CB">
        <w:rPr>
          <w:rFonts w:eastAsia="MS Mincho"/>
          <w:b/>
          <w:color w:val="0070C0"/>
        </w:rPr>
        <w:t>5.3.5.5.7</w:t>
      </w:r>
      <w:r w:rsidRPr="008563CB">
        <w:rPr>
          <w:rFonts w:eastAsia="MS Mincho"/>
          <w:b/>
          <w:color w:val="0070C0"/>
        </w:rPr>
        <w:tab/>
        <w:t>SpCell Configuration</w:t>
      </w:r>
      <w:bookmarkEnd w:id="13"/>
      <w:bookmarkEnd w:id="14"/>
      <w:bookmarkEnd w:id="15"/>
      <w:bookmarkEnd w:id="16"/>
    </w:p>
    <w:p w:rsidR="00CF2063" w:rsidRPr="008563CB" w:rsidRDefault="00CF2063">
      <w:pPr>
        <w:rPr>
          <w:rFonts w:ascii="Times New Roman" w:hAnsi="Times New Roman" w:cs="Times New Roman"/>
          <w:color w:val="0070C0"/>
        </w:rPr>
      </w:pPr>
    </w:p>
    <w:p w:rsidR="00CF2063" w:rsidRPr="008563CB" w:rsidRDefault="00CF2063" w:rsidP="00CF2063">
      <w:pPr>
        <w:pStyle w:val="B2"/>
        <w:rPr>
          <w:color w:val="0070C0"/>
        </w:rPr>
      </w:pPr>
      <w:r w:rsidRPr="008563CB">
        <w:rPr>
          <w:color w:val="0070C0"/>
        </w:rPr>
        <w:t>2&gt;</w:t>
      </w:r>
      <w:r w:rsidRPr="008563CB">
        <w:rPr>
          <w:color w:val="0070C0"/>
        </w:rPr>
        <w:tab/>
        <w:t xml:space="preserve">if any of the reference signal(s) that are used for radio link monitoring are reconfigured by the received </w:t>
      </w:r>
      <w:r w:rsidRPr="008563CB">
        <w:rPr>
          <w:i/>
          <w:color w:val="0070C0"/>
        </w:rPr>
        <w:t>spCellConfigDedicated</w:t>
      </w:r>
      <w:r w:rsidRPr="008563CB">
        <w:rPr>
          <w:color w:val="0070C0"/>
        </w:rPr>
        <w:t>:</w:t>
      </w:r>
    </w:p>
    <w:p w:rsidR="00CF2063" w:rsidRPr="008563CB" w:rsidRDefault="00CF2063" w:rsidP="00CF2063">
      <w:pPr>
        <w:pStyle w:val="B3"/>
        <w:rPr>
          <w:color w:val="0070C0"/>
        </w:rPr>
      </w:pPr>
      <w:r w:rsidRPr="008563CB">
        <w:rPr>
          <w:color w:val="0070C0"/>
        </w:rPr>
        <w:t>3&gt;</w:t>
      </w:r>
      <w:r w:rsidRPr="008563CB">
        <w:rPr>
          <w:color w:val="0070C0"/>
        </w:rPr>
        <w:tab/>
        <w:t>stop timer T310 for the corresponding SpCell, if running;</w:t>
      </w:r>
    </w:p>
    <w:p w:rsidR="00CF2063" w:rsidRPr="008563CB" w:rsidRDefault="00CF2063" w:rsidP="00CF2063">
      <w:pPr>
        <w:pStyle w:val="B3"/>
        <w:rPr>
          <w:color w:val="0070C0"/>
        </w:rPr>
      </w:pPr>
      <w:r w:rsidRPr="008563CB">
        <w:rPr>
          <w:color w:val="0070C0"/>
        </w:rPr>
        <w:t>3&gt;</w:t>
      </w:r>
      <w:r w:rsidRPr="008563CB">
        <w:rPr>
          <w:color w:val="0070C0"/>
        </w:rPr>
        <w:tab/>
        <w:t xml:space="preserve">stop timer T312 </w:t>
      </w:r>
      <w:r w:rsidRPr="008563CB">
        <w:rPr>
          <w:color w:val="0070C0"/>
          <w:highlight w:val="yellow"/>
        </w:rPr>
        <w:t>for the corresponding SpCell</w:t>
      </w:r>
      <w:r w:rsidRPr="008563CB">
        <w:rPr>
          <w:color w:val="0070C0"/>
        </w:rPr>
        <w:t>, if running;</w:t>
      </w:r>
    </w:p>
    <w:p w:rsidR="00CF2063" w:rsidRPr="008563CB" w:rsidRDefault="00CF2063" w:rsidP="00CF2063">
      <w:pPr>
        <w:pStyle w:val="B3"/>
        <w:rPr>
          <w:color w:val="0070C0"/>
          <w:lang w:eastAsia="zh-CN"/>
        </w:rPr>
      </w:pPr>
      <w:r w:rsidRPr="008563CB">
        <w:rPr>
          <w:color w:val="0070C0"/>
        </w:rPr>
        <w:t>3&gt;</w:t>
      </w:r>
      <w:r w:rsidRPr="008563CB">
        <w:rPr>
          <w:color w:val="0070C0"/>
        </w:rPr>
        <w:tab/>
        <w:t>reset the counters N310 and N311.</w:t>
      </w:r>
    </w:p>
    <w:p w:rsidR="00CF2063" w:rsidRPr="008563CB" w:rsidRDefault="00CF2063">
      <w:pPr>
        <w:rPr>
          <w:rFonts w:ascii="Times New Roman" w:hAnsi="Times New Roman" w:cs="Times New Roman"/>
          <w:color w:val="0070C0"/>
          <w:lang w:val="x-none"/>
        </w:rPr>
      </w:pPr>
    </w:p>
    <w:p w:rsidR="00CF2063" w:rsidRPr="008563CB" w:rsidRDefault="00CF2063" w:rsidP="00CF2063">
      <w:pPr>
        <w:pStyle w:val="3"/>
        <w:rPr>
          <w:rFonts w:eastAsia="MS Mincho"/>
          <w:b/>
          <w:color w:val="0070C0"/>
        </w:rPr>
      </w:pPr>
      <w:bookmarkStart w:id="17" w:name="_Toc20425730"/>
      <w:bookmarkStart w:id="18" w:name="_Toc29321126"/>
      <w:bookmarkStart w:id="19" w:name="_Toc36756729"/>
      <w:bookmarkStart w:id="20" w:name="_Toc36836270"/>
      <w:bookmarkStart w:id="21" w:name="_Toc36843247"/>
      <w:bookmarkStart w:id="22" w:name="_Toc37067536"/>
      <w:r w:rsidRPr="008563CB">
        <w:rPr>
          <w:rFonts w:eastAsia="MS Mincho"/>
          <w:b/>
          <w:color w:val="0070C0"/>
        </w:rPr>
        <w:t>5.3.7</w:t>
      </w:r>
      <w:r w:rsidRPr="008563CB">
        <w:rPr>
          <w:rFonts w:eastAsia="MS Mincho"/>
          <w:b/>
          <w:color w:val="0070C0"/>
        </w:rPr>
        <w:tab/>
        <w:t>RRC connection re-establishment</w:t>
      </w:r>
      <w:bookmarkEnd w:id="17"/>
      <w:bookmarkEnd w:id="18"/>
      <w:bookmarkEnd w:id="19"/>
      <w:bookmarkEnd w:id="20"/>
      <w:bookmarkEnd w:id="21"/>
      <w:bookmarkEnd w:id="22"/>
    </w:p>
    <w:p w:rsidR="00CF2063" w:rsidRPr="008563CB" w:rsidRDefault="00CF2063" w:rsidP="00CF2063">
      <w:pPr>
        <w:pStyle w:val="40"/>
        <w:rPr>
          <w:b/>
          <w:i w:val="0"/>
          <w:color w:val="0070C0"/>
        </w:rPr>
      </w:pPr>
      <w:bookmarkStart w:id="23" w:name="_Toc20425732"/>
      <w:bookmarkStart w:id="24" w:name="_Toc29321128"/>
      <w:bookmarkStart w:id="25" w:name="_Toc36756731"/>
      <w:bookmarkStart w:id="26" w:name="_Toc36836272"/>
      <w:bookmarkStart w:id="27" w:name="_Toc36843249"/>
      <w:bookmarkStart w:id="28" w:name="_Toc37067538"/>
      <w:r w:rsidRPr="008563CB">
        <w:rPr>
          <w:b/>
          <w:i w:val="0"/>
          <w:color w:val="0070C0"/>
        </w:rPr>
        <w:t>5.3.7.2</w:t>
      </w:r>
      <w:r w:rsidRPr="008563CB">
        <w:rPr>
          <w:b/>
          <w:i w:val="0"/>
          <w:color w:val="0070C0"/>
        </w:rPr>
        <w:tab/>
        <w:t>Initiation</w:t>
      </w:r>
      <w:bookmarkEnd w:id="23"/>
      <w:bookmarkEnd w:id="24"/>
      <w:bookmarkEnd w:id="25"/>
      <w:bookmarkEnd w:id="26"/>
      <w:bookmarkEnd w:id="27"/>
      <w:bookmarkEnd w:id="28"/>
    </w:p>
    <w:p w:rsidR="00CF2063" w:rsidRPr="008563CB" w:rsidRDefault="00CF2063">
      <w:pPr>
        <w:rPr>
          <w:rFonts w:ascii="Times New Roman" w:hAnsi="Times New Roman" w:cs="Times New Roman"/>
          <w:color w:val="0070C0"/>
          <w:lang w:val="x-none"/>
        </w:rPr>
      </w:pPr>
    </w:p>
    <w:p w:rsidR="00CF2063" w:rsidRPr="008563CB" w:rsidRDefault="00CF2063" w:rsidP="00CF2063">
      <w:pPr>
        <w:rPr>
          <w:color w:val="0070C0"/>
        </w:rPr>
      </w:pPr>
      <w:r w:rsidRPr="008563CB">
        <w:rPr>
          <w:color w:val="0070C0"/>
        </w:rPr>
        <w:t>Upon initiation of the procedure, the UE shall:</w:t>
      </w:r>
    </w:p>
    <w:p w:rsidR="00CF2063" w:rsidRPr="008563CB" w:rsidRDefault="00CF2063" w:rsidP="00CF2063">
      <w:pPr>
        <w:pStyle w:val="B1"/>
        <w:rPr>
          <w:color w:val="0070C0"/>
        </w:rPr>
      </w:pPr>
      <w:r w:rsidRPr="008563CB">
        <w:rPr>
          <w:color w:val="0070C0"/>
        </w:rPr>
        <w:t>1&gt;</w:t>
      </w:r>
      <w:r w:rsidRPr="008563CB">
        <w:rPr>
          <w:color w:val="0070C0"/>
        </w:rPr>
        <w:tab/>
        <w:t>stop timer T310, if running;</w:t>
      </w:r>
    </w:p>
    <w:p w:rsidR="00CF2063" w:rsidRPr="008563CB" w:rsidRDefault="00CF2063" w:rsidP="00CF2063">
      <w:pPr>
        <w:pStyle w:val="B1"/>
        <w:rPr>
          <w:color w:val="0070C0"/>
        </w:rPr>
      </w:pPr>
      <w:r w:rsidRPr="008563CB">
        <w:rPr>
          <w:color w:val="0070C0"/>
        </w:rPr>
        <w:t>1&gt;</w:t>
      </w:r>
      <w:r w:rsidRPr="008563CB">
        <w:rPr>
          <w:color w:val="0070C0"/>
        </w:rPr>
        <w:tab/>
        <w:t xml:space="preserve">stop timer </w:t>
      </w:r>
      <w:r w:rsidRPr="008563CB">
        <w:rPr>
          <w:color w:val="0070C0"/>
          <w:highlight w:val="yellow"/>
        </w:rPr>
        <w:t>T312,</w:t>
      </w:r>
      <w:r w:rsidRPr="008563CB">
        <w:rPr>
          <w:color w:val="0070C0"/>
        </w:rPr>
        <w:t xml:space="preserve"> if running;</w:t>
      </w:r>
    </w:p>
    <w:p w:rsidR="00CF2063" w:rsidRPr="008563CB" w:rsidRDefault="00CF2063" w:rsidP="00CF2063">
      <w:pPr>
        <w:pStyle w:val="B1"/>
        <w:rPr>
          <w:color w:val="0070C0"/>
        </w:rPr>
      </w:pPr>
      <w:r w:rsidRPr="008563CB">
        <w:rPr>
          <w:color w:val="0070C0"/>
        </w:rPr>
        <w:t>1&gt;</w:t>
      </w:r>
      <w:r w:rsidRPr="008563CB">
        <w:rPr>
          <w:color w:val="0070C0"/>
        </w:rPr>
        <w:tab/>
        <w:t>stop timer T304, if running;</w:t>
      </w:r>
    </w:p>
    <w:p w:rsidR="00CF2063" w:rsidRDefault="00CF2063">
      <w:pPr>
        <w:rPr>
          <w:rFonts w:ascii="Times New Roman" w:hAnsi="Times New Roman" w:cs="Times New Roman"/>
          <w:lang w:val="x-none"/>
        </w:rPr>
      </w:pPr>
    </w:p>
    <w:p w:rsidR="00C46CD3" w:rsidRPr="00CF2063" w:rsidRDefault="00C46CD3">
      <w:pPr>
        <w:rPr>
          <w:rFonts w:ascii="Times New Roman" w:hAnsi="Times New Roman" w:cs="Times New Roman"/>
          <w:lang w:val="x-none"/>
        </w:rPr>
      </w:pPr>
      <w:r>
        <w:rPr>
          <w:rFonts w:ascii="Times New Roman" w:hAnsi="Times New Roman" w:cs="Times New Roman" w:hint="eastAsia"/>
          <w:lang w:val="x-none"/>
        </w:rPr>
        <w:t>W</w:t>
      </w:r>
      <w:r>
        <w:rPr>
          <w:rFonts w:ascii="Times New Roman" w:hAnsi="Times New Roman" w:cs="Times New Roman"/>
          <w:lang w:val="x-none"/>
        </w:rPr>
        <w:t xml:space="preserve">e understand that </w:t>
      </w:r>
      <w:r w:rsidR="00D40DA5">
        <w:rPr>
          <w:rFonts w:ascii="Times New Roman" w:hAnsi="Times New Roman" w:cs="Times New Roman"/>
          <w:lang w:val="x-none"/>
        </w:rPr>
        <w:t>the diverse descriptions are following the ones for T310 (just above T312 text for each example), however, it may lead to some ambiguities on</w:t>
      </w:r>
      <w:r w:rsidR="003704DB">
        <w:rPr>
          <w:rFonts w:ascii="Times New Roman" w:hAnsi="Times New Roman" w:cs="Times New Roman"/>
          <w:lang w:val="x-none"/>
        </w:rPr>
        <w:t xml:space="preserve"> UE behaviours. In our understanding, </w:t>
      </w:r>
      <w:r w:rsidR="00666FAB">
        <w:rPr>
          <w:rFonts w:ascii="Times New Roman" w:hAnsi="Times New Roman" w:cs="Times New Roman"/>
          <w:lang w:val="x-none"/>
        </w:rPr>
        <w:t>it could be changed into a uniform description that the UE shall stop timer T312 for the correspoding SpCell, if running.</w:t>
      </w:r>
    </w:p>
    <w:p w:rsidR="00635567" w:rsidRDefault="00635567">
      <w:pPr>
        <w:rPr>
          <w:rFonts w:ascii="Times New Roman" w:hAnsi="Times New Roman" w:cs="Times New Roman"/>
        </w:rPr>
      </w:pPr>
    </w:p>
    <w:p w:rsidR="00666FAB" w:rsidRPr="00BC0F22" w:rsidRDefault="00666FAB">
      <w:pPr>
        <w:rPr>
          <w:rFonts w:ascii="Times New Roman" w:hAnsi="Times New Roman" w:cs="Times New Roman"/>
          <w:b/>
        </w:rPr>
      </w:pPr>
      <w:r w:rsidRPr="00BC0F22">
        <w:rPr>
          <w:rFonts w:ascii="Times New Roman" w:hAnsi="Times New Roman" w:cs="Times New Roman" w:hint="eastAsia"/>
          <w:b/>
        </w:rPr>
        <w:t>P</w:t>
      </w:r>
      <w:r w:rsidRPr="00BC0F22">
        <w:rPr>
          <w:rFonts w:ascii="Times New Roman" w:hAnsi="Times New Roman" w:cs="Times New Roman"/>
          <w:b/>
        </w:rPr>
        <w:t>roposal 3:</w:t>
      </w:r>
      <w:r w:rsidR="00A453C3">
        <w:rPr>
          <w:rFonts w:ascii="Times New Roman" w:hAnsi="Times New Roman" w:cs="Times New Roman"/>
          <w:b/>
        </w:rPr>
        <w:t xml:space="preserve"> </w:t>
      </w:r>
      <w:r w:rsidR="00BC0F22" w:rsidRPr="00BC0F22">
        <w:rPr>
          <w:rFonts w:ascii="Times New Roman" w:hAnsi="Times New Roman" w:cs="Times New Roman"/>
          <w:b/>
        </w:rPr>
        <w:t>For UE stopping T312, it is proposed to use a uniform text that the UE shall stop timer T312 for the corresponding SpCell, if running.</w:t>
      </w:r>
    </w:p>
    <w:p w:rsidR="0047764D" w:rsidRPr="0047764D" w:rsidRDefault="0047764D">
      <w:pPr>
        <w:rPr>
          <w:rFonts w:ascii="Times New Roman" w:hAnsi="Times New Roman" w:cs="Times New Roman"/>
          <w:b/>
        </w:rPr>
      </w:pPr>
    </w:p>
    <w:p w:rsidR="00977692" w:rsidRPr="00977692" w:rsidRDefault="00977692" w:rsidP="00977692">
      <w:pPr>
        <w:pStyle w:val="1"/>
        <w:tabs>
          <w:tab w:val="num" w:pos="420"/>
        </w:tabs>
        <w:spacing w:line="276" w:lineRule="auto"/>
        <w:ind w:left="420" w:hanging="420"/>
        <w:jc w:val="both"/>
        <w:rPr>
          <w:lang w:eastAsia="zh-CN"/>
        </w:rPr>
      </w:pPr>
      <w:r w:rsidRPr="00977692">
        <w:rPr>
          <w:lang w:val="en-US" w:eastAsia="zh-CN"/>
        </w:rPr>
        <w:t>Conclusion</w:t>
      </w:r>
    </w:p>
    <w:p w:rsidR="00A531F2" w:rsidRDefault="00BC0F22">
      <w:pPr>
        <w:rPr>
          <w:rFonts w:ascii="Times New Roman" w:hAnsi="Times New Roman" w:cs="Times New Roman"/>
        </w:rPr>
      </w:pPr>
      <w:r>
        <w:rPr>
          <w:rFonts w:ascii="Times New Roman" w:hAnsi="Times New Roman" w:cs="Times New Roman"/>
        </w:rPr>
        <w:t>In this paper, regarding T312 support, we have provided some technical analysis. It is proposed:</w:t>
      </w:r>
    </w:p>
    <w:p w:rsidR="00BC0F22" w:rsidRPr="00695067" w:rsidRDefault="00BC0F22" w:rsidP="00BC0F22">
      <w:pPr>
        <w:rPr>
          <w:rFonts w:ascii="Times New Roman" w:hAnsi="Times New Roman" w:cs="Times New Roman"/>
          <w:b/>
          <w:lang w:val="x-none"/>
        </w:rPr>
      </w:pPr>
      <w:r w:rsidRPr="00695067">
        <w:rPr>
          <w:rFonts w:ascii="Times New Roman" w:hAnsi="Times New Roman" w:cs="Times New Roman" w:hint="eastAsia"/>
          <w:b/>
          <w:lang w:val="x-none"/>
        </w:rPr>
        <w:t>P</w:t>
      </w:r>
      <w:r w:rsidRPr="00695067">
        <w:rPr>
          <w:rFonts w:ascii="Times New Roman" w:hAnsi="Times New Roman" w:cs="Times New Roman"/>
          <w:b/>
          <w:lang w:val="x-none"/>
        </w:rPr>
        <w:t xml:space="preserve">roposal 1: </w:t>
      </w:r>
      <w:r>
        <w:rPr>
          <w:rFonts w:ascii="Times New Roman" w:hAnsi="Times New Roman" w:cs="Times New Roman"/>
          <w:b/>
          <w:lang w:val="x-none"/>
        </w:rPr>
        <w:t>It is proposed to check and complete the procedural text for stopping T312 upon a handover.</w:t>
      </w:r>
    </w:p>
    <w:p w:rsidR="00BC0F22" w:rsidRPr="00601D32" w:rsidRDefault="00BC0F22" w:rsidP="00BC0F22">
      <w:pPr>
        <w:rPr>
          <w:rFonts w:ascii="Times New Roman" w:hAnsi="Times New Roman" w:cs="Times New Roman"/>
          <w:b/>
          <w:lang w:val="en-GB"/>
        </w:rPr>
      </w:pPr>
      <w:r w:rsidRPr="00601D32">
        <w:rPr>
          <w:rFonts w:ascii="Times New Roman" w:hAnsi="Times New Roman" w:cs="Times New Roman"/>
          <w:b/>
          <w:lang w:val="en-GB"/>
        </w:rPr>
        <w:t>Proposal 2: It is proposed to confirm the following understandings:</w:t>
      </w:r>
    </w:p>
    <w:p w:rsidR="00BC0F22" w:rsidRPr="00601D32" w:rsidRDefault="00BC0F22" w:rsidP="00BC0F22">
      <w:pPr>
        <w:pStyle w:val="a7"/>
        <w:numPr>
          <w:ilvl w:val="0"/>
          <w:numId w:val="6"/>
        </w:numPr>
        <w:ind w:firstLineChars="0"/>
        <w:rPr>
          <w:rFonts w:ascii="Times New Roman" w:hAnsi="Times New Roman" w:cs="Times New Roman"/>
          <w:b/>
          <w:lang w:val="en-GB"/>
        </w:rPr>
      </w:pPr>
      <w:r w:rsidRPr="00601D32">
        <w:rPr>
          <w:rFonts w:ascii="Times New Roman" w:hAnsi="Times New Roman" w:cs="Times New Roman"/>
          <w:b/>
          <w:lang w:val="en-GB"/>
        </w:rPr>
        <w:t>For No#18 agreement, we think it should cover both CHO reconfiguration and CPC reconfiguration cases.</w:t>
      </w:r>
    </w:p>
    <w:p w:rsidR="00BC0F22" w:rsidRPr="00601D32" w:rsidRDefault="00BC0F22" w:rsidP="00BC0F22">
      <w:pPr>
        <w:pStyle w:val="a7"/>
        <w:numPr>
          <w:ilvl w:val="0"/>
          <w:numId w:val="6"/>
        </w:numPr>
        <w:ind w:firstLineChars="0"/>
        <w:rPr>
          <w:rFonts w:ascii="Times New Roman" w:hAnsi="Times New Roman" w:cs="Times New Roman"/>
          <w:b/>
          <w:lang w:val="en-GB"/>
        </w:rPr>
      </w:pPr>
      <w:r w:rsidRPr="00601D32">
        <w:rPr>
          <w:rFonts w:ascii="Times New Roman" w:hAnsi="Times New Roman" w:cs="Times New Roman"/>
          <w:b/>
          <w:lang w:val="en-GB"/>
        </w:rPr>
        <w:t>For No#19, we think it should also be applicable for CPC case, i.e. T312 is stopped upon execution of CPC and do not need to change specification.</w:t>
      </w:r>
    </w:p>
    <w:p w:rsidR="00BC0F22" w:rsidRPr="00BC0F22" w:rsidRDefault="00BC0F22" w:rsidP="00BC0F22">
      <w:pPr>
        <w:rPr>
          <w:rFonts w:ascii="Times New Roman" w:hAnsi="Times New Roman" w:cs="Times New Roman"/>
          <w:b/>
        </w:rPr>
      </w:pPr>
      <w:r w:rsidRPr="00BC0F22">
        <w:rPr>
          <w:rFonts w:ascii="Times New Roman" w:hAnsi="Times New Roman" w:cs="Times New Roman" w:hint="eastAsia"/>
          <w:b/>
        </w:rPr>
        <w:t>P</w:t>
      </w:r>
      <w:r w:rsidRPr="00BC0F22">
        <w:rPr>
          <w:rFonts w:ascii="Times New Roman" w:hAnsi="Times New Roman" w:cs="Times New Roman"/>
          <w:b/>
        </w:rPr>
        <w:t>roposal 3:</w:t>
      </w:r>
      <w:r w:rsidR="00A453C3">
        <w:rPr>
          <w:rFonts w:ascii="Times New Roman" w:hAnsi="Times New Roman" w:cs="Times New Roman"/>
          <w:b/>
        </w:rPr>
        <w:t xml:space="preserve"> </w:t>
      </w:r>
      <w:bookmarkStart w:id="29" w:name="_GoBack"/>
      <w:bookmarkEnd w:id="29"/>
      <w:r w:rsidRPr="00BC0F22">
        <w:rPr>
          <w:rFonts w:ascii="Times New Roman" w:hAnsi="Times New Roman" w:cs="Times New Roman"/>
          <w:b/>
        </w:rPr>
        <w:t>For UE stopping T312, it is proposed to use a uniform text that the UE shall stop timer T312 for the corresponding SpCell, if running.</w:t>
      </w:r>
    </w:p>
    <w:p w:rsidR="00A20FD5" w:rsidRDefault="00A20FD5">
      <w:pPr>
        <w:rPr>
          <w:rFonts w:ascii="Times New Roman" w:hAnsi="Times New Roman" w:cs="Times New Roman"/>
        </w:rPr>
      </w:pPr>
    </w:p>
    <w:p w:rsidR="00977692" w:rsidRDefault="00977692" w:rsidP="00977692">
      <w:pPr>
        <w:pStyle w:val="1"/>
        <w:spacing w:line="276" w:lineRule="auto"/>
        <w:jc w:val="both"/>
      </w:pPr>
      <w:r w:rsidRPr="00CC0168">
        <w:t>Reference</w:t>
      </w:r>
    </w:p>
    <w:p w:rsidR="00AF5344" w:rsidRDefault="00557047" w:rsidP="00557047">
      <w:pPr>
        <w:numPr>
          <w:ilvl w:val="0"/>
          <w:numId w:val="3"/>
        </w:numPr>
        <w:spacing w:after="180" w:line="276" w:lineRule="auto"/>
        <w:jc w:val="both"/>
        <w:rPr>
          <w:rFonts w:ascii="Times New Roman" w:hAnsi="Times New Roman" w:cs="Times New Roman"/>
        </w:rPr>
      </w:pPr>
      <w:r w:rsidRPr="00557047">
        <w:rPr>
          <w:rFonts w:ascii="Times New Roman" w:hAnsi="Times New Roman" w:cs="Times New Roman"/>
        </w:rPr>
        <w:t>Draft</w:t>
      </w:r>
      <w:r w:rsidR="00F30086">
        <w:rPr>
          <w:rFonts w:ascii="Times New Roman" w:hAnsi="Times New Roman" w:cs="Times New Roman"/>
        </w:rPr>
        <w:t>_RAN2#109-e_MeetingReport_v1</w:t>
      </w:r>
    </w:p>
    <w:p w:rsidR="00333E43" w:rsidRPr="00BC0F22" w:rsidRDefault="008A2518" w:rsidP="00EA3BAC">
      <w:pPr>
        <w:numPr>
          <w:ilvl w:val="0"/>
          <w:numId w:val="3"/>
        </w:numPr>
        <w:spacing w:after="180" w:line="276" w:lineRule="auto"/>
        <w:jc w:val="both"/>
        <w:rPr>
          <w:rFonts w:ascii="Times New Roman" w:hAnsi="Times New Roman" w:cs="Times New Roman"/>
        </w:rPr>
      </w:pPr>
      <w:r w:rsidRPr="00BC0F22">
        <w:rPr>
          <w:rFonts w:ascii="Times New Roman" w:hAnsi="Times New Roman" w:cs="Times New Roman"/>
        </w:rPr>
        <w:t>TS 38.331 v16.0.0</w:t>
      </w:r>
      <w:bookmarkStart w:id="30" w:name="_Ref440699169"/>
      <w:bookmarkEnd w:id="30"/>
    </w:p>
    <w:sectPr w:rsidR="00333E43" w:rsidRPr="00BC0F22" w:rsidSect="00C77B23">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187" w:rsidRDefault="00D71187" w:rsidP="00BB62EC">
      <w:pPr>
        <w:spacing w:after="0" w:line="240" w:lineRule="auto"/>
      </w:pPr>
      <w:r>
        <w:separator/>
      </w:r>
    </w:p>
  </w:endnote>
  <w:endnote w:type="continuationSeparator" w:id="0">
    <w:p w:rsidR="00D71187" w:rsidRDefault="00D71187" w:rsidP="00BB6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Yu Mincho">
    <w:charset w:val="80"/>
    <w:family w:val="roman"/>
    <w:pitch w:val="variable"/>
    <w:sig w:usb0="0000028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187" w:rsidRDefault="00D71187" w:rsidP="00BB62EC">
      <w:pPr>
        <w:spacing w:after="0" w:line="240" w:lineRule="auto"/>
      </w:pPr>
      <w:r>
        <w:separator/>
      </w:r>
    </w:p>
  </w:footnote>
  <w:footnote w:type="continuationSeparator" w:id="0">
    <w:p w:rsidR="00D71187" w:rsidRDefault="00D71187" w:rsidP="00BB62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5F883BF5"/>
    <w:multiLevelType w:val="hybridMultilevel"/>
    <w:tmpl w:val="304C5B4E"/>
    <w:lvl w:ilvl="0" w:tplc="3C0A96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C1527FE"/>
    <w:multiLevelType w:val="hybridMultilevel"/>
    <w:tmpl w:val="3F226CB4"/>
    <w:lvl w:ilvl="0" w:tplc="B0005F1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01"/>
    <w:rsid w:val="000047BB"/>
    <w:rsid w:val="000139E3"/>
    <w:rsid w:val="00037BBB"/>
    <w:rsid w:val="000450ED"/>
    <w:rsid w:val="000D513E"/>
    <w:rsid w:val="00105567"/>
    <w:rsid w:val="00137181"/>
    <w:rsid w:val="001D295E"/>
    <w:rsid w:val="001F63E1"/>
    <w:rsid w:val="00211640"/>
    <w:rsid w:val="00231900"/>
    <w:rsid w:val="002404AB"/>
    <w:rsid w:val="00250705"/>
    <w:rsid w:val="00266ED1"/>
    <w:rsid w:val="002D6A2D"/>
    <w:rsid w:val="002F037C"/>
    <w:rsid w:val="00300D27"/>
    <w:rsid w:val="00302E6D"/>
    <w:rsid w:val="00330A08"/>
    <w:rsid w:val="00333E43"/>
    <w:rsid w:val="00346C84"/>
    <w:rsid w:val="00347F01"/>
    <w:rsid w:val="00353D97"/>
    <w:rsid w:val="003704DB"/>
    <w:rsid w:val="00370C77"/>
    <w:rsid w:val="003721C7"/>
    <w:rsid w:val="003B0DAB"/>
    <w:rsid w:val="003C73A4"/>
    <w:rsid w:val="003C7932"/>
    <w:rsid w:val="003D2B7A"/>
    <w:rsid w:val="004548F6"/>
    <w:rsid w:val="0047460F"/>
    <w:rsid w:val="0047764D"/>
    <w:rsid w:val="00481E24"/>
    <w:rsid w:val="0048615E"/>
    <w:rsid w:val="004B0A5C"/>
    <w:rsid w:val="004B3EDB"/>
    <w:rsid w:val="004C5554"/>
    <w:rsid w:val="004D1307"/>
    <w:rsid w:val="00505BBE"/>
    <w:rsid w:val="0051364D"/>
    <w:rsid w:val="0051621C"/>
    <w:rsid w:val="0052142C"/>
    <w:rsid w:val="00532661"/>
    <w:rsid w:val="005339D1"/>
    <w:rsid w:val="00540106"/>
    <w:rsid w:val="00540955"/>
    <w:rsid w:val="00557047"/>
    <w:rsid w:val="005774F7"/>
    <w:rsid w:val="005B557C"/>
    <w:rsid w:val="005E357F"/>
    <w:rsid w:val="005E4D94"/>
    <w:rsid w:val="005F0328"/>
    <w:rsid w:val="00601D32"/>
    <w:rsid w:val="00633859"/>
    <w:rsid w:val="00635567"/>
    <w:rsid w:val="006635AF"/>
    <w:rsid w:val="00666FAB"/>
    <w:rsid w:val="00695067"/>
    <w:rsid w:val="00695567"/>
    <w:rsid w:val="006C1F99"/>
    <w:rsid w:val="006D03A3"/>
    <w:rsid w:val="006D35F2"/>
    <w:rsid w:val="006F4A07"/>
    <w:rsid w:val="007200D6"/>
    <w:rsid w:val="00722B07"/>
    <w:rsid w:val="0076135B"/>
    <w:rsid w:val="00761C6B"/>
    <w:rsid w:val="0076228A"/>
    <w:rsid w:val="007627CC"/>
    <w:rsid w:val="00790225"/>
    <w:rsid w:val="0079213C"/>
    <w:rsid w:val="007A0416"/>
    <w:rsid w:val="00805967"/>
    <w:rsid w:val="00825B33"/>
    <w:rsid w:val="00837740"/>
    <w:rsid w:val="008563CB"/>
    <w:rsid w:val="00856D82"/>
    <w:rsid w:val="00887EFF"/>
    <w:rsid w:val="0089567F"/>
    <w:rsid w:val="008A2518"/>
    <w:rsid w:val="008C2947"/>
    <w:rsid w:val="008E5B42"/>
    <w:rsid w:val="00936E5B"/>
    <w:rsid w:val="00942FA5"/>
    <w:rsid w:val="00977692"/>
    <w:rsid w:val="009A3D01"/>
    <w:rsid w:val="009B28AA"/>
    <w:rsid w:val="009B5250"/>
    <w:rsid w:val="009C2100"/>
    <w:rsid w:val="00A0344F"/>
    <w:rsid w:val="00A20FD5"/>
    <w:rsid w:val="00A308D1"/>
    <w:rsid w:val="00A40C17"/>
    <w:rsid w:val="00A453C3"/>
    <w:rsid w:val="00A531F2"/>
    <w:rsid w:val="00A5408D"/>
    <w:rsid w:val="00A5660F"/>
    <w:rsid w:val="00A70EB7"/>
    <w:rsid w:val="00A83F70"/>
    <w:rsid w:val="00AC018E"/>
    <w:rsid w:val="00AF5344"/>
    <w:rsid w:val="00B103D8"/>
    <w:rsid w:val="00B22BE4"/>
    <w:rsid w:val="00B651DB"/>
    <w:rsid w:val="00B74D8D"/>
    <w:rsid w:val="00B947B3"/>
    <w:rsid w:val="00B9768E"/>
    <w:rsid w:val="00BB24E3"/>
    <w:rsid w:val="00BB62EC"/>
    <w:rsid w:val="00BC0F22"/>
    <w:rsid w:val="00C07C05"/>
    <w:rsid w:val="00C170CE"/>
    <w:rsid w:val="00C256F4"/>
    <w:rsid w:val="00C31826"/>
    <w:rsid w:val="00C46CD3"/>
    <w:rsid w:val="00C57D4D"/>
    <w:rsid w:val="00C60E79"/>
    <w:rsid w:val="00C6392B"/>
    <w:rsid w:val="00C77B23"/>
    <w:rsid w:val="00C81B43"/>
    <w:rsid w:val="00C825CC"/>
    <w:rsid w:val="00CD2C02"/>
    <w:rsid w:val="00CE7DD0"/>
    <w:rsid w:val="00CF2063"/>
    <w:rsid w:val="00D20DB6"/>
    <w:rsid w:val="00D276B2"/>
    <w:rsid w:val="00D34985"/>
    <w:rsid w:val="00D40DA5"/>
    <w:rsid w:val="00D434DD"/>
    <w:rsid w:val="00D67121"/>
    <w:rsid w:val="00D71187"/>
    <w:rsid w:val="00D742E7"/>
    <w:rsid w:val="00D97B5A"/>
    <w:rsid w:val="00DA7D36"/>
    <w:rsid w:val="00DC276A"/>
    <w:rsid w:val="00DF4F19"/>
    <w:rsid w:val="00E03AAF"/>
    <w:rsid w:val="00E31656"/>
    <w:rsid w:val="00E364D5"/>
    <w:rsid w:val="00E71F76"/>
    <w:rsid w:val="00E72C1F"/>
    <w:rsid w:val="00E766EF"/>
    <w:rsid w:val="00E817A3"/>
    <w:rsid w:val="00EC43D5"/>
    <w:rsid w:val="00EC6186"/>
    <w:rsid w:val="00EF6CD0"/>
    <w:rsid w:val="00EF7139"/>
    <w:rsid w:val="00F14BBD"/>
    <w:rsid w:val="00F20FB5"/>
    <w:rsid w:val="00F278F6"/>
    <w:rsid w:val="00F30086"/>
    <w:rsid w:val="00F4416C"/>
    <w:rsid w:val="00F55075"/>
    <w:rsid w:val="00F57821"/>
    <w:rsid w:val="00F80829"/>
    <w:rsid w:val="00F85821"/>
    <w:rsid w:val="00FC7AC4"/>
    <w:rsid w:val="00FD0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F55F13-0954-434A-AB16-C0A558AB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
    <w:next w:val="a"/>
    <w:link w:val="1Char"/>
    <w:qFormat/>
    <w:rsid w:val="00BB62EC"/>
    <w:pPr>
      <w:keepNext/>
      <w:keepLines/>
      <w:numPr>
        <w:numId w:val="1"/>
      </w:numPr>
      <w:pBdr>
        <w:top w:val="single" w:sz="12" w:space="3" w:color="auto"/>
      </w:pBdr>
      <w:spacing w:before="240" w:after="180" w:line="240" w:lineRule="auto"/>
      <w:outlineLvl w:val="0"/>
    </w:pPr>
    <w:rPr>
      <w:rFonts w:ascii="Arial" w:eastAsia="宋体" w:hAnsi="Arial" w:cs="Times New Roman"/>
      <w:sz w:val="32"/>
      <w:szCs w:val="20"/>
      <w:lang w:val="en-GB" w:eastAsia="en-US"/>
    </w:rPr>
  </w:style>
  <w:style w:type="paragraph" w:styleId="2">
    <w:name w:val="heading 2"/>
    <w:basedOn w:val="a"/>
    <w:next w:val="a"/>
    <w:link w:val="2Char"/>
    <w:uiPriority w:val="9"/>
    <w:unhideWhenUsed/>
    <w:qFormat/>
    <w:rsid w:val="000139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1F63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
    <w:next w:val="a"/>
    <w:link w:val="4Char"/>
    <w:uiPriority w:val="9"/>
    <w:semiHidden/>
    <w:unhideWhenUsed/>
    <w:qFormat/>
    <w:rsid w:val="000139E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0139E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2EC"/>
    <w:pPr>
      <w:tabs>
        <w:tab w:val="center" w:pos="4320"/>
        <w:tab w:val="right" w:pos="8640"/>
      </w:tabs>
      <w:spacing w:after="0" w:line="240" w:lineRule="auto"/>
    </w:pPr>
  </w:style>
  <w:style w:type="character" w:customStyle="1" w:styleId="Char">
    <w:name w:val="页眉 Char"/>
    <w:basedOn w:val="a0"/>
    <w:link w:val="a3"/>
    <w:uiPriority w:val="99"/>
    <w:rsid w:val="00BB62EC"/>
  </w:style>
  <w:style w:type="paragraph" w:styleId="a4">
    <w:name w:val="footer"/>
    <w:basedOn w:val="a"/>
    <w:link w:val="Char0"/>
    <w:uiPriority w:val="99"/>
    <w:unhideWhenUsed/>
    <w:rsid w:val="00BB62EC"/>
    <w:pPr>
      <w:tabs>
        <w:tab w:val="center" w:pos="4320"/>
        <w:tab w:val="right" w:pos="8640"/>
      </w:tabs>
      <w:spacing w:after="0" w:line="240" w:lineRule="auto"/>
    </w:pPr>
  </w:style>
  <w:style w:type="character" w:customStyle="1" w:styleId="Char0">
    <w:name w:val="页脚 Char"/>
    <w:basedOn w:val="a0"/>
    <w:link w:val="a4"/>
    <w:uiPriority w:val="99"/>
    <w:rsid w:val="00BB62EC"/>
  </w:style>
  <w:style w:type="character" w:customStyle="1" w:styleId="1Char">
    <w:name w:val="标题 1 Char"/>
    <w:aliases w:val="H1 Char"/>
    <w:basedOn w:val="a0"/>
    <w:link w:val="1"/>
    <w:rsid w:val="00BB62EC"/>
    <w:rPr>
      <w:rFonts w:ascii="Arial" w:eastAsia="宋体" w:hAnsi="Arial" w:cs="Times New Roman"/>
      <w:sz w:val="32"/>
      <w:szCs w:val="20"/>
      <w:lang w:val="en-GB" w:eastAsia="en-US"/>
    </w:rPr>
  </w:style>
  <w:style w:type="paragraph" w:customStyle="1" w:styleId="CRCoverPage">
    <w:name w:val="CR Cover Page"/>
    <w:link w:val="CRCoverPageZchn"/>
    <w:rsid w:val="00BB62EC"/>
    <w:pPr>
      <w:spacing w:after="120" w:line="240" w:lineRule="auto"/>
    </w:pPr>
    <w:rPr>
      <w:rFonts w:ascii="Arial" w:eastAsia="宋体" w:hAnsi="Arial" w:cs="Times New Roman"/>
      <w:sz w:val="20"/>
      <w:szCs w:val="20"/>
      <w:lang w:val="en-GB" w:eastAsia="en-US"/>
    </w:rPr>
  </w:style>
  <w:style w:type="paragraph" w:customStyle="1" w:styleId="3GPPHeader">
    <w:name w:val="3GPP_Header"/>
    <w:basedOn w:val="a"/>
    <w:rsid w:val="00BB62E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rPr>
  </w:style>
  <w:style w:type="character" w:customStyle="1" w:styleId="CRCoverPageZchn">
    <w:name w:val="CR Cover Page Zchn"/>
    <w:link w:val="CRCoverPage"/>
    <w:rsid w:val="00BB62EC"/>
    <w:rPr>
      <w:rFonts w:ascii="Arial" w:eastAsia="宋体" w:hAnsi="Arial" w:cs="Times New Roman"/>
      <w:sz w:val="20"/>
      <w:szCs w:val="20"/>
      <w:lang w:val="en-GB" w:eastAsia="en-US"/>
    </w:rPr>
  </w:style>
  <w:style w:type="paragraph" w:customStyle="1" w:styleId="4">
    <w:name w:val="标题4"/>
    <w:basedOn w:val="a"/>
    <w:rsid w:val="00977692"/>
    <w:pPr>
      <w:numPr>
        <w:numId w:val="2"/>
      </w:numPr>
      <w:spacing w:after="180" w:line="240" w:lineRule="auto"/>
    </w:pPr>
    <w:rPr>
      <w:rFonts w:ascii="Times New Roman" w:eastAsia="宋体" w:hAnsi="Times New Roman" w:cs="Times New Roman"/>
      <w:sz w:val="20"/>
      <w:szCs w:val="20"/>
      <w:lang w:val="en-GB" w:eastAsia="en-US"/>
    </w:rPr>
  </w:style>
  <w:style w:type="character" w:customStyle="1" w:styleId="2Char">
    <w:name w:val="标题 2 Char"/>
    <w:basedOn w:val="a0"/>
    <w:link w:val="2"/>
    <w:uiPriority w:val="9"/>
    <w:rsid w:val="000139E3"/>
    <w:rPr>
      <w:rFonts w:asciiTheme="majorHAnsi" w:eastAsiaTheme="majorEastAsia" w:hAnsiTheme="majorHAnsi" w:cstheme="majorBidi"/>
      <w:color w:val="2E74B5" w:themeColor="accent1" w:themeShade="BF"/>
      <w:sz w:val="26"/>
      <w:szCs w:val="26"/>
    </w:rPr>
  </w:style>
  <w:style w:type="character" w:customStyle="1" w:styleId="5Char">
    <w:name w:val="标题 5 Char"/>
    <w:basedOn w:val="a0"/>
    <w:link w:val="5"/>
    <w:uiPriority w:val="9"/>
    <w:semiHidden/>
    <w:rsid w:val="000139E3"/>
    <w:rPr>
      <w:rFonts w:asciiTheme="majorHAnsi" w:eastAsiaTheme="majorEastAsia" w:hAnsiTheme="majorHAnsi" w:cstheme="majorBidi"/>
      <w:color w:val="2E74B5" w:themeColor="accent1" w:themeShade="BF"/>
    </w:rPr>
  </w:style>
  <w:style w:type="paragraph" w:customStyle="1" w:styleId="B1">
    <w:name w:val="B1"/>
    <w:basedOn w:val="a5"/>
    <w:link w:val="B1Char1"/>
    <w:qFormat/>
    <w:rsid w:val="000139E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0139E3"/>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0139E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0139E3"/>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0139E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0139E3"/>
    <w:rPr>
      <w:rFonts w:ascii="Times New Roman" w:eastAsia="Times New Roman" w:hAnsi="Times New Roman" w:cs="Times New Roman"/>
      <w:sz w:val="20"/>
      <w:szCs w:val="20"/>
      <w:lang w:val="x-none" w:eastAsia="x-none"/>
    </w:rPr>
  </w:style>
  <w:style w:type="paragraph" w:customStyle="1" w:styleId="B4">
    <w:name w:val="B4"/>
    <w:basedOn w:val="41"/>
    <w:link w:val="B4Char"/>
    <w:qFormat/>
    <w:rsid w:val="000139E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0139E3"/>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0139E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0139E3"/>
    <w:rPr>
      <w:rFonts w:ascii="Times New Roman" w:eastAsia="Times New Roman" w:hAnsi="Times New Roman" w:cs="Times New Roman"/>
      <w:sz w:val="20"/>
      <w:szCs w:val="20"/>
      <w:lang w:val="x-none" w:eastAsia="x-none"/>
    </w:rPr>
  </w:style>
  <w:style w:type="paragraph" w:styleId="a5">
    <w:name w:val="List"/>
    <w:basedOn w:val="a"/>
    <w:uiPriority w:val="99"/>
    <w:semiHidden/>
    <w:unhideWhenUsed/>
    <w:rsid w:val="000139E3"/>
    <w:pPr>
      <w:ind w:left="283" w:hanging="283"/>
      <w:contextualSpacing/>
    </w:pPr>
  </w:style>
  <w:style w:type="paragraph" w:styleId="20">
    <w:name w:val="List 2"/>
    <w:basedOn w:val="a"/>
    <w:uiPriority w:val="99"/>
    <w:semiHidden/>
    <w:unhideWhenUsed/>
    <w:rsid w:val="000139E3"/>
    <w:pPr>
      <w:ind w:left="566" w:hanging="283"/>
      <w:contextualSpacing/>
    </w:pPr>
  </w:style>
  <w:style w:type="paragraph" w:styleId="30">
    <w:name w:val="List 3"/>
    <w:basedOn w:val="a"/>
    <w:uiPriority w:val="99"/>
    <w:semiHidden/>
    <w:unhideWhenUsed/>
    <w:rsid w:val="000139E3"/>
    <w:pPr>
      <w:ind w:left="849" w:hanging="283"/>
      <w:contextualSpacing/>
    </w:pPr>
  </w:style>
  <w:style w:type="paragraph" w:styleId="41">
    <w:name w:val="List 4"/>
    <w:basedOn w:val="a"/>
    <w:uiPriority w:val="99"/>
    <w:semiHidden/>
    <w:unhideWhenUsed/>
    <w:rsid w:val="000139E3"/>
    <w:pPr>
      <w:ind w:left="1132" w:hanging="283"/>
      <w:contextualSpacing/>
    </w:pPr>
  </w:style>
  <w:style w:type="paragraph" w:styleId="50">
    <w:name w:val="List 5"/>
    <w:basedOn w:val="a"/>
    <w:uiPriority w:val="99"/>
    <w:semiHidden/>
    <w:unhideWhenUsed/>
    <w:rsid w:val="000139E3"/>
    <w:pPr>
      <w:ind w:left="1415" w:hanging="283"/>
      <w:contextualSpacing/>
    </w:pPr>
  </w:style>
  <w:style w:type="paragraph" w:styleId="a6">
    <w:name w:val="Balloon Text"/>
    <w:basedOn w:val="a"/>
    <w:link w:val="Char1"/>
    <w:uiPriority w:val="99"/>
    <w:semiHidden/>
    <w:unhideWhenUsed/>
    <w:rsid w:val="000139E3"/>
    <w:pPr>
      <w:spacing w:after="0" w:line="240" w:lineRule="auto"/>
    </w:pPr>
    <w:rPr>
      <w:rFonts w:ascii="Microsoft YaHei UI" w:eastAsia="Microsoft YaHei UI"/>
      <w:sz w:val="18"/>
      <w:szCs w:val="18"/>
    </w:rPr>
  </w:style>
  <w:style w:type="character" w:customStyle="1" w:styleId="Char1">
    <w:name w:val="批注框文本 Char"/>
    <w:basedOn w:val="a0"/>
    <w:link w:val="a6"/>
    <w:uiPriority w:val="99"/>
    <w:semiHidden/>
    <w:rsid w:val="000139E3"/>
    <w:rPr>
      <w:rFonts w:ascii="Microsoft YaHei UI" w:eastAsia="Microsoft YaHei UI"/>
      <w:sz w:val="18"/>
      <w:szCs w:val="18"/>
    </w:rPr>
  </w:style>
  <w:style w:type="character" w:customStyle="1" w:styleId="4Char">
    <w:name w:val="标题 4 Char"/>
    <w:basedOn w:val="a0"/>
    <w:link w:val="40"/>
    <w:uiPriority w:val="9"/>
    <w:semiHidden/>
    <w:rsid w:val="000139E3"/>
    <w:rPr>
      <w:rFonts w:asciiTheme="majorHAnsi" w:eastAsiaTheme="majorEastAsia" w:hAnsiTheme="majorHAnsi" w:cstheme="majorBidi"/>
      <w:i/>
      <w:iCs/>
      <w:color w:val="2E74B5" w:themeColor="accent1" w:themeShade="BF"/>
    </w:rPr>
  </w:style>
  <w:style w:type="paragraph" w:customStyle="1" w:styleId="PL">
    <w:name w:val="PL"/>
    <w:link w:val="PLChar"/>
    <w:qFormat/>
    <w:rsid w:val="0001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139E3"/>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0139E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0139E3"/>
    <w:rPr>
      <w:rFonts w:ascii="Arial" w:eastAsia="Times New Roman" w:hAnsi="Arial" w:cs="Times New Roman"/>
      <w:sz w:val="18"/>
      <w:szCs w:val="20"/>
      <w:lang w:val="x-none" w:eastAsia="x-none"/>
    </w:rPr>
  </w:style>
  <w:style w:type="paragraph" w:customStyle="1" w:styleId="TAH">
    <w:name w:val="TAH"/>
    <w:basedOn w:val="a"/>
    <w:link w:val="TAHCar"/>
    <w:qFormat/>
    <w:rsid w:val="000139E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0139E3"/>
    <w:rPr>
      <w:rFonts w:ascii="Arial" w:eastAsia="Times New Roman" w:hAnsi="Arial" w:cs="Times New Roman"/>
      <w:b/>
      <w:sz w:val="18"/>
      <w:szCs w:val="20"/>
      <w:lang w:val="x-none" w:eastAsia="x-none"/>
    </w:rPr>
  </w:style>
  <w:style w:type="paragraph" w:customStyle="1" w:styleId="TH">
    <w:name w:val="TH"/>
    <w:basedOn w:val="a"/>
    <w:link w:val="THChar"/>
    <w:qFormat/>
    <w:rsid w:val="000139E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0139E3"/>
    <w:rPr>
      <w:rFonts w:ascii="Arial" w:eastAsia="Times New Roman" w:hAnsi="Arial" w:cs="Times New Roman"/>
      <w:b/>
      <w:sz w:val="20"/>
      <w:szCs w:val="20"/>
      <w:lang w:val="x-none" w:eastAsia="x-none"/>
    </w:rPr>
  </w:style>
  <w:style w:type="character" w:customStyle="1" w:styleId="3Char">
    <w:name w:val="标题 3 Char"/>
    <w:basedOn w:val="a0"/>
    <w:link w:val="3"/>
    <w:uiPriority w:val="9"/>
    <w:semiHidden/>
    <w:rsid w:val="001F63E1"/>
    <w:rPr>
      <w:rFonts w:asciiTheme="majorHAnsi" w:eastAsiaTheme="majorEastAsia" w:hAnsiTheme="majorHAnsi" w:cstheme="majorBidi"/>
      <w:color w:val="1F4D78" w:themeColor="accent1" w:themeShade="7F"/>
      <w:sz w:val="24"/>
      <w:szCs w:val="24"/>
    </w:rPr>
  </w:style>
  <w:style w:type="paragraph" w:styleId="a7">
    <w:name w:val="List Paragraph"/>
    <w:basedOn w:val="a"/>
    <w:uiPriority w:val="34"/>
    <w:qFormat/>
    <w:rsid w:val="00856D82"/>
    <w:pPr>
      <w:ind w:firstLineChars="200" w:firstLine="420"/>
    </w:pPr>
  </w:style>
  <w:style w:type="paragraph" w:customStyle="1" w:styleId="NO">
    <w:name w:val="NO"/>
    <w:basedOn w:val="a"/>
    <w:link w:val="NOZchn"/>
    <w:qFormat/>
    <w:rsid w:val="00333E43"/>
    <w:pPr>
      <w:keepLines/>
      <w:spacing w:after="180" w:line="240" w:lineRule="auto"/>
      <w:ind w:left="1135" w:hanging="851"/>
    </w:pPr>
    <w:rPr>
      <w:rFonts w:ascii="Times New Roman" w:hAnsi="Times New Roman" w:cs="Times New Roman"/>
      <w:sz w:val="20"/>
      <w:szCs w:val="20"/>
      <w:lang w:val="x-none" w:eastAsia="en-US"/>
    </w:rPr>
  </w:style>
  <w:style w:type="character" w:customStyle="1" w:styleId="NOZchn">
    <w:name w:val="NO Zchn"/>
    <w:link w:val="NO"/>
    <w:rsid w:val="00333E43"/>
    <w:rPr>
      <w:rFonts w:ascii="Times New Roman" w:hAnsi="Times New Roman" w:cs="Times New Roman"/>
      <w:sz w:val="20"/>
      <w:szCs w:val="20"/>
      <w:lang w:val="x-none" w:eastAsia="en-US"/>
    </w:rPr>
  </w:style>
  <w:style w:type="character" w:customStyle="1" w:styleId="B1Char">
    <w:name w:val="B1 Char"/>
    <w:rsid w:val="00333E43"/>
    <w:rPr>
      <w:lang w:eastAsia="en-US"/>
    </w:rPr>
  </w:style>
  <w:style w:type="table" w:styleId="a8">
    <w:name w:val="Table Grid"/>
    <w:basedOn w:val="a1"/>
    <w:uiPriority w:val="39"/>
    <w:rsid w:val="0030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CD2C02"/>
    <w:pPr>
      <w:numPr>
        <w:numId w:val="5"/>
      </w:numPr>
      <w:spacing w:before="60" w:after="0" w:line="240" w:lineRule="auto"/>
    </w:pPr>
    <w:rPr>
      <w:rFonts w:ascii="Arial" w:eastAsia="Times New Roman" w:hAnsi="Arial" w:cs="Times New Roman"/>
      <w:b/>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9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62624-05EA-4523-A394-B02C5A5F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858</Words>
  <Characters>4896</Characters>
  <Application>Microsoft Office Word</Application>
  <DocSecurity>0</DocSecurity>
  <Lines>40</Lines>
  <Paragraphs>11</Paragraphs>
  <ScaleCrop>false</ScaleCrop>
  <Company>Huawei Technologies Co.,Ltd.</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156</cp:revision>
  <dcterms:created xsi:type="dcterms:W3CDTF">2020-03-23T01:23:00Z</dcterms:created>
  <dcterms:modified xsi:type="dcterms:W3CDTF">2020-04-10T03:13:00Z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(3)Mjs2AAA/sqWUJsZn7dBXRTsm6uWVIhY0OjTvr8zptKgB2zaWhb2MeUZno/WnGWcBVNCCvsIj
eoN3PltbruWKx/VDF/t0hEvwrS7OUaqZ11Czw63748VAyKPN8TEtrkncigtsVt58Gstod8rh
Lp7GuZi4905/87hND1q3av+kifzu6QCQ3R2Q2MdPiOqt5QeAx715Ko4DVD2Ns82Ia6P+gwkL
L8ji4UQ96JGZjgvh3W</vt:lpwstr>
  </property>
  <property fmtid="{D5CDD505-2E9C-101B-9397-08002B2CF9AE}" pid="3" name="_2015_ms_pID_7253431">
    <vt:lpwstr>B2swGqxlYFp5g0TAEYzdGST8/SPMCgiVEBbGOAP+PfiDxLT683RFRX
LMfbjv9pNyYUf3CAUA+OY5Hsw6rsGZIpMIPjMlnfHc50HcOs5wZDd2HOG4EUWXvXfrD9lprZ
MM0FnhO68gULpNs/BP71HmOY8lWCRfmDJWLqsDCZoklXfiBjENY5o+LEJapkW3GUkxSzNGQW
LhN7uy+vxNc43cB33g2yqncaDkwDQL28iU/N</vt:lpwstr>
  </property>
  <property fmtid="{D5CDD505-2E9C-101B-9397-08002B2CF9AE}" pid="4" name="_2015_ms_pID_7253432">
    <vt:lpwstr>J0oKR+/AIyU3g6X7UCM3jEs=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1585623406</vt:lpwstr>
  </property>
</Properties>
</file>